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5BAE2" w14:textId="4F1A0871" w:rsidR="005E59FD" w:rsidRPr="003B11A6" w:rsidRDefault="005E59FD" w:rsidP="00A0648A">
      <w:pPr>
        <w:spacing w:before="240"/>
        <w:jc w:val="center"/>
        <w:rPr>
          <w:b/>
        </w:rPr>
      </w:pPr>
      <w:r w:rsidRPr="003B11A6">
        <w:rPr>
          <w:b/>
        </w:rPr>
        <w:t>INFORMATĪVAIS ZIŅOJUMS</w:t>
      </w:r>
    </w:p>
    <w:p w14:paraId="3D8F326A" w14:textId="77777777" w:rsidR="005E59FD" w:rsidRPr="003B11A6" w:rsidRDefault="005E59FD" w:rsidP="00A418B3">
      <w:pPr>
        <w:pStyle w:val="BodyText"/>
        <w:rPr>
          <w:szCs w:val="24"/>
        </w:rPr>
      </w:pPr>
      <w:r w:rsidRPr="003B11A6">
        <w:rPr>
          <w:szCs w:val="24"/>
        </w:rPr>
        <w:t xml:space="preserve">par Eiropas Savienības Konkurētspējas </w:t>
      </w:r>
      <w:r w:rsidR="002D3677" w:rsidRPr="003B11A6">
        <w:rPr>
          <w:szCs w:val="24"/>
        </w:rPr>
        <w:t>ministru padomes 201</w:t>
      </w:r>
      <w:r w:rsidR="00CE119F" w:rsidRPr="003B11A6">
        <w:rPr>
          <w:szCs w:val="24"/>
        </w:rPr>
        <w:t>8</w:t>
      </w:r>
      <w:r w:rsidR="002D3677" w:rsidRPr="003B11A6">
        <w:rPr>
          <w:szCs w:val="24"/>
        </w:rPr>
        <w:t xml:space="preserve">. gada </w:t>
      </w:r>
      <w:r w:rsidR="008557E5" w:rsidRPr="003B11A6">
        <w:rPr>
          <w:szCs w:val="24"/>
        </w:rPr>
        <w:t>28</w:t>
      </w:r>
      <w:r w:rsidR="00BC7469" w:rsidRPr="003B11A6">
        <w:rPr>
          <w:szCs w:val="24"/>
        </w:rPr>
        <w:t>.</w:t>
      </w:r>
      <w:r w:rsidR="00CE119F" w:rsidRPr="003B11A6">
        <w:rPr>
          <w:szCs w:val="24"/>
        </w:rPr>
        <w:t>m</w:t>
      </w:r>
      <w:r w:rsidR="008557E5" w:rsidRPr="003B11A6">
        <w:rPr>
          <w:szCs w:val="24"/>
        </w:rPr>
        <w:t>aija</w:t>
      </w:r>
      <w:r w:rsidRPr="003B11A6">
        <w:rPr>
          <w:szCs w:val="24"/>
        </w:rPr>
        <w:t xml:space="preserve"> sanāksmē izskatāmajiem jautājumiem</w:t>
      </w:r>
    </w:p>
    <w:p w14:paraId="398DDCD5" w14:textId="5A83FB83" w:rsidR="005E59FD" w:rsidRPr="003B11A6" w:rsidRDefault="002D3677" w:rsidP="005E59FD">
      <w:pPr>
        <w:keepNext/>
        <w:keepLines/>
      </w:pPr>
      <w:r w:rsidRPr="003B11A6">
        <w:t>201</w:t>
      </w:r>
      <w:r w:rsidR="00CE119F" w:rsidRPr="003B11A6">
        <w:t>8</w:t>
      </w:r>
      <w:r w:rsidRPr="003B11A6">
        <w:t xml:space="preserve">. gada </w:t>
      </w:r>
      <w:r w:rsidR="008557E5" w:rsidRPr="003B11A6">
        <w:t>28.maijā</w:t>
      </w:r>
      <w:r w:rsidR="005E59FD" w:rsidRPr="003B11A6">
        <w:t xml:space="preserve"> Briselē (Beļģijā) notiks kārtējā Eiropas Savienības (turpmāk – ES) Konkurētspējas ministru padomes sanāksme iekšējā tirgus un rūpniecības jautājumos. Sanāksmē tiks izskatīti šādi </w:t>
      </w:r>
      <w:r w:rsidR="00CE119F" w:rsidRPr="003B11A6">
        <w:t>Ekonomikas ministrijas</w:t>
      </w:r>
      <w:r w:rsidR="00503097" w:rsidRPr="003B11A6">
        <w:t>, Vides aizsardzības un reģionālās attīstības ministrijas, Tieslietu min</w:t>
      </w:r>
      <w:r w:rsidR="00C727A3">
        <w:t xml:space="preserve">istrijas, Kultūras ministrijas </w:t>
      </w:r>
      <w:r w:rsidR="005E59FD" w:rsidRPr="003B11A6">
        <w:t>esoši jautājumi:</w:t>
      </w:r>
    </w:p>
    <w:p w14:paraId="125DA66E" w14:textId="77777777" w:rsidR="00393BE0" w:rsidRPr="003B11A6" w:rsidRDefault="00393BE0" w:rsidP="005E59FD">
      <w:pPr>
        <w:keepNext/>
        <w:keepLines/>
      </w:pPr>
    </w:p>
    <w:p w14:paraId="2DC695A4" w14:textId="77777777" w:rsidR="008557E5" w:rsidRPr="003B11A6" w:rsidRDefault="008557E5" w:rsidP="003F03EB">
      <w:pPr>
        <w:pStyle w:val="DashEqual1"/>
        <w:keepNext/>
        <w:keepLines/>
        <w:numPr>
          <w:ilvl w:val="0"/>
          <w:numId w:val="4"/>
        </w:numPr>
        <w:ind w:left="567" w:hanging="567"/>
        <w:rPr>
          <w:b/>
          <w:lang w:val="lv-LV"/>
        </w:rPr>
      </w:pPr>
      <w:r w:rsidRPr="003B11A6">
        <w:rPr>
          <w:b/>
          <w:lang w:val="lv-LV"/>
        </w:rPr>
        <w:t>Konkurētspējas pārbaude</w:t>
      </w:r>
    </w:p>
    <w:p w14:paraId="36677997" w14:textId="77777777" w:rsidR="008557E5" w:rsidRPr="003B11A6" w:rsidRDefault="008557E5" w:rsidP="006275E7">
      <w:pPr>
        <w:pStyle w:val="DashEqual1"/>
        <w:numPr>
          <w:ilvl w:val="0"/>
          <w:numId w:val="0"/>
        </w:numPr>
        <w:spacing w:after="0"/>
        <w:ind w:left="567"/>
        <w:rPr>
          <w:i/>
          <w:lang w:val="lv-LV"/>
        </w:rPr>
      </w:pPr>
      <w:r w:rsidRPr="003B11A6">
        <w:rPr>
          <w:i/>
          <w:lang w:val="lv-LV"/>
        </w:rPr>
        <w:t>= EK sniegta prezentācija</w:t>
      </w:r>
    </w:p>
    <w:p w14:paraId="3AB0547F" w14:textId="77777777" w:rsidR="008557E5" w:rsidRPr="003B11A6" w:rsidRDefault="008557E5" w:rsidP="006275E7">
      <w:pPr>
        <w:pStyle w:val="DashEqual1"/>
        <w:numPr>
          <w:ilvl w:val="0"/>
          <w:numId w:val="0"/>
        </w:numPr>
        <w:ind w:left="567"/>
        <w:rPr>
          <w:i/>
          <w:lang w:val="lv-LV"/>
        </w:rPr>
      </w:pPr>
      <w:r w:rsidRPr="003B11A6">
        <w:rPr>
          <w:i/>
          <w:lang w:val="lv-LV"/>
        </w:rPr>
        <w:t>= Viedokļu apmaiņa</w:t>
      </w:r>
    </w:p>
    <w:p w14:paraId="19A66049" w14:textId="77777777" w:rsidR="007F593C" w:rsidRPr="003B11A6" w:rsidRDefault="00AC4F22" w:rsidP="00796E81">
      <w:pPr>
        <w:pStyle w:val="DashEqual1"/>
        <w:numPr>
          <w:ilvl w:val="0"/>
          <w:numId w:val="0"/>
        </w:numPr>
        <w:ind w:firstLine="567"/>
        <w:rPr>
          <w:lang w:val="lv-LV"/>
        </w:rPr>
      </w:pPr>
      <w:r w:rsidRPr="003B11A6">
        <w:rPr>
          <w:lang w:val="lv-LV"/>
        </w:rPr>
        <w:t xml:space="preserve">Konkurētspējas pārbaudes izvērtējumā plānots apskatīt iekšējā tirgus un rūpniecības konkurētspējas sinerģiju. </w:t>
      </w:r>
      <w:r w:rsidR="00F43256" w:rsidRPr="003B11A6">
        <w:rPr>
          <w:lang w:val="lv-LV"/>
        </w:rPr>
        <w:t xml:space="preserve">Ņemot vērā pieaugošo globālās vērtības ķēdes daļu īpatsvaru kopējā tirdzniecībā un pasaules pieprasījuma maiņu jaunajās ekonomikās, </w:t>
      </w:r>
      <w:r w:rsidR="008C6EAB" w:rsidRPr="003B11A6">
        <w:rPr>
          <w:lang w:val="lv-LV"/>
        </w:rPr>
        <w:t>Eiropas Komisija</w:t>
      </w:r>
      <w:r w:rsidR="0009574E" w:rsidRPr="003B11A6">
        <w:rPr>
          <w:lang w:val="lv-LV"/>
        </w:rPr>
        <w:t xml:space="preserve"> (turpmāk – EK)</w:t>
      </w:r>
      <w:r w:rsidR="008C6EAB" w:rsidRPr="003B11A6">
        <w:rPr>
          <w:lang w:val="lv-LV"/>
        </w:rPr>
        <w:t xml:space="preserve"> ir secinājusi, ka </w:t>
      </w:r>
      <w:r w:rsidR="00331EFF" w:rsidRPr="003B11A6">
        <w:rPr>
          <w:lang w:val="lv-LV"/>
        </w:rPr>
        <w:t xml:space="preserve">ES </w:t>
      </w:r>
      <w:r w:rsidR="008C6EAB" w:rsidRPr="003B11A6">
        <w:rPr>
          <w:lang w:val="lv-LV"/>
        </w:rPr>
        <w:t>V</w:t>
      </w:r>
      <w:r w:rsidR="00F43256" w:rsidRPr="003B11A6">
        <w:rPr>
          <w:lang w:val="lv-LV"/>
        </w:rPr>
        <w:t xml:space="preserve">ienotais tirgus </w:t>
      </w:r>
      <w:r w:rsidR="00331EFF" w:rsidRPr="003B11A6">
        <w:rPr>
          <w:lang w:val="lv-LV"/>
        </w:rPr>
        <w:t xml:space="preserve">veicina </w:t>
      </w:r>
      <w:r w:rsidR="0009574E" w:rsidRPr="003B11A6">
        <w:rPr>
          <w:lang w:val="lv-LV"/>
        </w:rPr>
        <w:t>ES</w:t>
      </w:r>
      <w:r w:rsidR="00F43256" w:rsidRPr="003B11A6">
        <w:rPr>
          <w:lang w:val="lv-LV"/>
        </w:rPr>
        <w:t xml:space="preserve"> uzņēmumu integrāciju Eiropas un pasaules vērtību ķēdēs</w:t>
      </w:r>
      <w:r w:rsidR="008C6EAB" w:rsidRPr="003B11A6">
        <w:rPr>
          <w:lang w:val="lv-LV"/>
        </w:rPr>
        <w:t>, taču ne vienmēr tas ir priekšnosacījums</w:t>
      </w:r>
      <w:r w:rsidR="00F43256" w:rsidRPr="003B11A6">
        <w:rPr>
          <w:lang w:val="lv-LV"/>
        </w:rPr>
        <w:t xml:space="preserve"> </w:t>
      </w:r>
      <w:r w:rsidR="00331EFF" w:rsidRPr="003B11A6">
        <w:rPr>
          <w:lang w:val="lv-LV"/>
        </w:rPr>
        <w:t xml:space="preserve">to </w:t>
      </w:r>
      <w:r w:rsidR="008C6EAB" w:rsidRPr="003B11A6">
        <w:rPr>
          <w:lang w:val="lv-LV"/>
        </w:rPr>
        <w:t>veiksmīgai darbībai</w:t>
      </w:r>
      <w:r w:rsidR="00F43256" w:rsidRPr="003B11A6">
        <w:rPr>
          <w:lang w:val="lv-LV"/>
        </w:rPr>
        <w:t xml:space="preserve">. </w:t>
      </w:r>
      <w:r w:rsidR="008C6EAB" w:rsidRPr="003B11A6">
        <w:rPr>
          <w:lang w:val="lv-LV"/>
        </w:rPr>
        <w:t xml:space="preserve">Lielu lomu spēlē </w:t>
      </w:r>
      <w:r w:rsidR="00C266A1" w:rsidRPr="003B11A6">
        <w:rPr>
          <w:lang w:val="lv-LV"/>
        </w:rPr>
        <w:t>arī</w:t>
      </w:r>
      <w:r w:rsidR="00087BFF" w:rsidRPr="003B11A6">
        <w:rPr>
          <w:lang w:val="lv-LV"/>
        </w:rPr>
        <w:t xml:space="preserve"> </w:t>
      </w:r>
      <w:r w:rsidR="00C266A1" w:rsidRPr="003B11A6">
        <w:rPr>
          <w:lang w:val="lv-LV"/>
        </w:rPr>
        <w:t xml:space="preserve">starptautiskā </w:t>
      </w:r>
      <w:r w:rsidR="009E6A07" w:rsidRPr="003B11A6">
        <w:rPr>
          <w:lang w:val="lv-LV"/>
        </w:rPr>
        <w:t xml:space="preserve">reģionālā sadarbība un tiesību aktu harmonizācija </w:t>
      </w:r>
      <w:r w:rsidR="00C266A1" w:rsidRPr="003B11A6">
        <w:rPr>
          <w:lang w:val="lv-LV"/>
        </w:rPr>
        <w:t xml:space="preserve">plurilaterālā un multilaterālā </w:t>
      </w:r>
      <w:r w:rsidR="009E6A07" w:rsidRPr="003B11A6">
        <w:rPr>
          <w:lang w:val="lv-LV"/>
        </w:rPr>
        <w:t xml:space="preserve">mērogā. </w:t>
      </w:r>
    </w:p>
    <w:p w14:paraId="1EC88353" w14:textId="540E32DD" w:rsidR="00AC4F22" w:rsidRPr="003B11A6" w:rsidRDefault="00F43256" w:rsidP="00AC4F22">
      <w:pPr>
        <w:pStyle w:val="DashEqual1"/>
        <w:numPr>
          <w:ilvl w:val="0"/>
          <w:numId w:val="0"/>
        </w:numPr>
        <w:ind w:firstLine="567"/>
        <w:rPr>
          <w:lang w:val="lv-LV"/>
        </w:rPr>
      </w:pPr>
      <w:r w:rsidRPr="003B11A6">
        <w:rPr>
          <w:lang w:val="lv-LV"/>
        </w:rPr>
        <w:t xml:space="preserve">ES </w:t>
      </w:r>
      <w:r w:rsidR="009E6A07" w:rsidRPr="003B11A6">
        <w:rPr>
          <w:lang w:val="lv-LV"/>
        </w:rPr>
        <w:t>V</w:t>
      </w:r>
      <w:r w:rsidRPr="003B11A6">
        <w:rPr>
          <w:lang w:val="lv-LV"/>
        </w:rPr>
        <w:t>ienotais tirgus ir veicinājis</w:t>
      </w:r>
      <w:r w:rsidR="00137DD5" w:rsidRPr="003B11A6">
        <w:rPr>
          <w:lang w:val="lv-LV"/>
        </w:rPr>
        <w:t xml:space="preserve"> ES dalībvalstu sadarbību tirdzniecībā.</w:t>
      </w:r>
      <w:r w:rsidRPr="003B11A6">
        <w:rPr>
          <w:lang w:val="lv-LV"/>
        </w:rPr>
        <w:t xml:space="preserve"> </w:t>
      </w:r>
      <w:r w:rsidR="00137DD5" w:rsidRPr="003B11A6">
        <w:rPr>
          <w:lang w:val="lv-LV"/>
        </w:rPr>
        <w:t>Attīstoties starpuzņēmu</w:t>
      </w:r>
      <w:r w:rsidR="00DF03B0" w:rsidRPr="003B11A6">
        <w:rPr>
          <w:lang w:val="lv-LV"/>
        </w:rPr>
        <w:t>mu</w:t>
      </w:r>
      <w:r w:rsidR="00137DD5" w:rsidRPr="003B11A6">
        <w:rPr>
          <w:lang w:val="lv-LV"/>
        </w:rPr>
        <w:t xml:space="preserve"> sadarbībai ES iekšienē un </w:t>
      </w:r>
      <w:r w:rsidR="00C9421C" w:rsidRPr="003B11A6">
        <w:rPr>
          <w:lang w:val="lv-LV"/>
        </w:rPr>
        <w:t xml:space="preserve">to </w:t>
      </w:r>
      <w:r w:rsidR="00137DD5" w:rsidRPr="003B11A6">
        <w:rPr>
          <w:lang w:val="lv-LV"/>
        </w:rPr>
        <w:t>integrācija</w:t>
      </w:r>
      <w:r w:rsidR="00C9421C" w:rsidRPr="003B11A6">
        <w:rPr>
          <w:lang w:val="lv-LV"/>
        </w:rPr>
        <w:t>i</w:t>
      </w:r>
      <w:r w:rsidR="00137DD5" w:rsidRPr="003B11A6">
        <w:rPr>
          <w:lang w:val="lv-LV"/>
        </w:rPr>
        <w:t xml:space="preserve"> vērtību ķēdēs, ES uzņēmumi </w:t>
      </w:r>
      <w:r w:rsidR="00331EFF" w:rsidRPr="003B11A6">
        <w:rPr>
          <w:lang w:val="lv-LV"/>
        </w:rPr>
        <w:t xml:space="preserve">spēj </w:t>
      </w:r>
      <w:r w:rsidR="00137DD5" w:rsidRPr="003B11A6">
        <w:rPr>
          <w:lang w:val="lv-LV"/>
        </w:rPr>
        <w:t xml:space="preserve">labāk reaģēt uz mainīgo globālo pieprasījumu un piedāvājumu. </w:t>
      </w:r>
      <w:r w:rsidR="00C9421C" w:rsidRPr="003B11A6">
        <w:rPr>
          <w:lang w:val="lv-LV"/>
        </w:rPr>
        <w:t>Atlikušo šķēršļu</w:t>
      </w:r>
      <w:r w:rsidR="00947C99" w:rsidRPr="003B11A6">
        <w:rPr>
          <w:lang w:val="lv-LV"/>
        </w:rPr>
        <w:t xml:space="preserve"> likvidēšana iekšējā tirgū veicina </w:t>
      </w:r>
      <w:r w:rsidR="00C266A1" w:rsidRPr="003B11A6">
        <w:rPr>
          <w:lang w:val="lv-LV"/>
        </w:rPr>
        <w:t xml:space="preserve">pārrobežu </w:t>
      </w:r>
      <w:r w:rsidR="00947C99" w:rsidRPr="003B11A6">
        <w:rPr>
          <w:lang w:val="lv-LV"/>
        </w:rPr>
        <w:t>tirdzniecīb</w:t>
      </w:r>
      <w:r w:rsidR="00C266A1" w:rsidRPr="003B11A6">
        <w:rPr>
          <w:lang w:val="lv-LV"/>
        </w:rPr>
        <w:t>u</w:t>
      </w:r>
      <w:r w:rsidR="00947C99" w:rsidRPr="003B11A6">
        <w:rPr>
          <w:lang w:val="lv-LV"/>
        </w:rPr>
        <w:t xml:space="preserve">, </w:t>
      </w:r>
      <w:r w:rsidR="00C9421C" w:rsidRPr="003B11A6">
        <w:rPr>
          <w:lang w:val="lv-LV"/>
        </w:rPr>
        <w:t xml:space="preserve">sekmē </w:t>
      </w:r>
      <w:r w:rsidR="00947C99" w:rsidRPr="003B11A6">
        <w:rPr>
          <w:lang w:val="lv-LV"/>
        </w:rPr>
        <w:t>rūpniecības specializāciju un paaugstina kopējo konkurētspēju.</w:t>
      </w:r>
    </w:p>
    <w:p w14:paraId="0D62C07A" w14:textId="3FC23049" w:rsidR="00F43256" w:rsidRPr="003B11A6" w:rsidRDefault="007F5591" w:rsidP="003B11A6">
      <w:pPr>
        <w:ind w:left="567" w:firstLine="0"/>
        <w:rPr>
          <w:b/>
        </w:rPr>
      </w:pPr>
      <w:r w:rsidRPr="003B11A6">
        <w:rPr>
          <w:b/>
        </w:rPr>
        <w:t>Latvijas nostāja:</w:t>
      </w:r>
    </w:p>
    <w:p w14:paraId="207EBA13" w14:textId="384F2556" w:rsidR="00775367" w:rsidRPr="003B11A6" w:rsidRDefault="00E23336" w:rsidP="00E23336">
      <w:pPr>
        <w:pStyle w:val="DashEqual1"/>
        <w:numPr>
          <w:ilvl w:val="0"/>
          <w:numId w:val="0"/>
        </w:numPr>
        <w:ind w:firstLine="567"/>
        <w:rPr>
          <w:lang w:val="lv-LV"/>
        </w:rPr>
      </w:pPr>
      <w:r w:rsidRPr="003B11A6">
        <w:rPr>
          <w:lang w:val="lv-LV"/>
        </w:rPr>
        <w:t xml:space="preserve">Latvija </w:t>
      </w:r>
      <w:r w:rsidR="007F01F8" w:rsidRPr="003B11A6">
        <w:rPr>
          <w:lang w:val="lv-LV"/>
        </w:rPr>
        <w:t xml:space="preserve">skatījumā </w:t>
      </w:r>
      <w:r w:rsidRPr="003B11A6">
        <w:rPr>
          <w:lang w:val="lv-LV"/>
        </w:rPr>
        <w:t xml:space="preserve">ES Vienotā tirgus darboties spēja un integritātes saglabāšana ir būtiska Latvijas sociālekonomiskai konverģencei. </w:t>
      </w:r>
      <w:r w:rsidR="00C5411A" w:rsidRPr="003B11A6">
        <w:rPr>
          <w:lang w:val="lv-LV"/>
        </w:rPr>
        <w:t xml:space="preserve">Vienotais tirgus </w:t>
      </w:r>
      <w:r w:rsidR="00775367" w:rsidRPr="003B11A6">
        <w:rPr>
          <w:lang w:val="lv-LV"/>
        </w:rPr>
        <w:t xml:space="preserve">ir </w:t>
      </w:r>
      <w:r w:rsidR="0009574E" w:rsidRPr="003B11A6">
        <w:rPr>
          <w:lang w:val="lv-LV"/>
        </w:rPr>
        <w:t>ES</w:t>
      </w:r>
      <w:r w:rsidR="00775367" w:rsidRPr="003B11A6">
        <w:rPr>
          <w:lang w:val="lv-LV"/>
        </w:rPr>
        <w:t xml:space="preserve"> lielākais sasniegums un tas </w:t>
      </w:r>
      <w:r w:rsidR="00C5411A" w:rsidRPr="003B11A6">
        <w:rPr>
          <w:lang w:val="lv-LV"/>
        </w:rPr>
        <w:t xml:space="preserve">ir veicinājis </w:t>
      </w:r>
      <w:r w:rsidR="00775367" w:rsidRPr="003B11A6">
        <w:rPr>
          <w:lang w:val="lv-LV"/>
        </w:rPr>
        <w:t xml:space="preserve">Latvijas </w:t>
      </w:r>
      <w:r w:rsidR="00C5411A" w:rsidRPr="003B11A6">
        <w:rPr>
          <w:lang w:val="lv-LV"/>
        </w:rPr>
        <w:t>rūpniecības apjomu pieaugumu, tostarp, pārtikas, ķīmiskā, papīra, mašīnas, mehānismu un elektrisko iekārtu rūpniecībā.</w:t>
      </w:r>
      <w:r w:rsidR="00775367" w:rsidRPr="003B11A6">
        <w:rPr>
          <w:lang w:val="lv-LV"/>
        </w:rPr>
        <w:t xml:space="preserve"> </w:t>
      </w:r>
      <w:r w:rsidR="0009574E" w:rsidRPr="003B11A6">
        <w:rPr>
          <w:lang w:val="lv-LV"/>
        </w:rPr>
        <w:t>ES</w:t>
      </w:r>
      <w:r w:rsidR="00775367" w:rsidRPr="003B11A6">
        <w:rPr>
          <w:lang w:val="lv-LV"/>
        </w:rPr>
        <w:t xml:space="preserve"> ir nozīmīgākā Latvijas tirdzniecības un investīciju partnere. </w:t>
      </w:r>
      <w:r w:rsidR="00A53F68" w:rsidRPr="003B11A6">
        <w:rPr>
          <w:lang w:val="lv-LV"/>
        </w:rPr>
        <w:t xml:space="preserve">2017.gadā </w:t>
      </w:r>
      <w:r w:rsidR="00775367" w:rsidRPr="003B11A6">
        <w:rPr>
          <w:lang w:val="lv-LV"/>
        </w:rPr>
        <w:t xml:space="preserve">Latvijas tirdzniecības apgrozījums ar </w:t>
      </w:r>
      <w:r w:rsidR="0009574E" w:rsidRPr="003B11A6">
        <w:rPr>
          <w:lang w:val="lv-LV"/>
        </w:rPr>
        <w:t>ES</w:t>
      </w:r>
      <w:r w:rsidR="00775367" w:rsidRPr="003B11A6">
        <w:rPr>
          <w:lang w:val="lv-LV"/>
        </w:rPr>
        <w:t xml:space="preserve"> 28 valstīm </w:t>
      </w:r>
      <w:r w:rsidR="00A53F68" w:rsidRPr="003B11A6">
        <w:rPr>
          <w:lang w:val="lv-LV"/>
        </w:rPr>
        <w:t xml:space="preserve">veidoja </w:t>
      </w:r>
      <w:r w:rsidR="00775367" w:rsidRPr="003B11A6">
        <w:rPr>
          <w:lang w:val="lv-LV"/>
        </w:rPr>
        <w:t>7</w:t>
      </w:r>
      <w:r w:rsidR="00A53F68" w:rsidRPr="003B11A6">
        <w:rPr>
          <w:lang w:val="lv-LV"/>
        </w:rPr>
        <w:t>3</w:t>
      </w:r>
      <w:r w:rsidR="00775367" w:rsidRPr="003B11A6">
        <w:rPr>
          <w:lang w:val="lv-LV"/>
        </w:rPr>
        <w:t>%</w:t>
      </w:r>
      <w:r w:rsidR="00C9421C" w:rsidRPr="003B11A6">
        <w:rPr>
          <w:lang w:val="lv-LV"/>
        </w:rPr>
        <w:t xml:space="preserve"> no kopējā tirdzniecības apjoma</w:t>
      </w:r>
      <w:r w:rsidR="00775367" w:rsidRPr="003B11A6">
        <w:rPr>
          <w:lang w:val="lv-LV"/>
        </w:rPr>
        <w:t>, savukārt investīcijas veido 3/4 no visām ienākošajām investīcijām.</w:t>
      </w:r>
    </w:p>
    <w:p w14:paraId="38B535C2" w14:textId="21421593" w:rsidR="00775367" w:rsidRPr="003B11A6" w:rsidRDefault="00775367" w:rsidP="00775367">
      <w:pPr>
        <w:pStyle w:val="DashEqual1"/>
        <w:numPr>
          <w:ilvl w:val="0"/>
          <w:numId w:val="0"/>
        </w:numPr>
        <w:ind w:firstLine="567"/>
        <w:rPr>
          <w:lang w:val="lv-LV"/>
        </w:rPr>
      </w:pPr>
      <w:r w:rsidRPr="003B11A6">
        <w:rPr>
          <w:lang w:val="lv-LV"/>
        </w:rPr>
        <w:t xml:space="preserve">Uzskatām, ka saistībā ar iekšpolitiskiem procesiem vairākās </w:t>
      </w:r>
      <w:r w:rsidR="0009574E" w:rsidRPr="003B11A6">
        <w:rPr>
          <w:lang w:val="lv-LV"/>
        </w:rPr>
        <w:t>ES</w:t>
      </w:r>
      <w:r w:rsidRPr="003B11A6">
        <w:rPr>
          <w:lang w:val="lv-LV"/>
        </w:rPr>
        <w:t xml:space="preserve"> dalībvalstīs, ir jūtama stipri gausāka lēmumu pieņemšana Vienotā tirgu padziļināšanas jautājumos. Tāpēc Latvija uzskata, ka ir jāstiprina partnerattiecības un ciešāka integrācija ar liberāli domājošiem partneriem Baltijas un Ziemeļeiropas valstīs</w:t>
      </w:r>
      <w:r w:rsidR="003B11A6" w:rsidRPr="003B11A6">
        <w:rPr>
          <w:lang w:val="lv-LV"/>
        </w:rPr>
        <w:t xml:space="preserve"> tādas jomās kā būvniecība nozares normatīvā regulējuma tuvināšana, inovācijas un tehnoloģiju pārnese, sadarbība izglītības un zinātnes jomā u.tml.</w:t>
      </w:r>
      <w:r w:rsidRPr="003B11A6">
        <w:rPr>
          <w:lang w:val="lv-LV"/>
        </w:rPr>
        <w:t xml:space="preserve">. </w:t>
      </w:r>
    </w:p>
    <w:p w14:paraId="1ADC1890" w14:textId="77777777" w:rsidR="005F4B1E" w:rsidRPr="003B11A6" w:rsidRDefault="005F4B1E" w:rsidP="00E23336">
      <w:pPr>
        <w:pStyle w:val="DashEqual1"/>
        <w:numPr>
          <w:ilvl w:val="0"/>
          <w:numId w:val="0"/>
        </w:numPr>
        <w:ind w:firstLine="567"/>
        <w:rPr>
          <w:lang w:val="lv-LV"/>
        </w:rPr>
      </w:pPr>
      <w:r w:rsidRPr="003B11A6">
        <w:rPr>
          <w:lang w:val="lv-LV"/>
        </w:rPr>
        <w:t xml:space="preserve">Vienlaikus Latvija uzskata, ka būtiski ir attīstīt sadarbību ar dažādiem pasaules reģioniem. Neskatoties uz </w:t>
      </w:r>
      <w:r w:rsidR="0009574E" w:rsidRPr="003B11A6">
        <w:rPr>
          <w:lang w:val="lv-LV"/>
        </w:rPr>
        <w:t>ES</w:t>
      </w:r>
      <w:r w:rsidRPr="003B11A6">
        <w:rPr>
          <w:lang w:val="lv-LV"/>
        </w:rPr>
        <w:t xml:space="preserve"> joprojām lielo nozīmi, Latvijas preču eksports no gada uz gadu kļūst diversificētāks. 2017.gadā 1/3 daļa no Latvijas kopējā preču eksporta bija uz valstīm ārpus </w:t>
      </w:r>
      <w:r w:rsidR="0009574E" w:rsidRPr="003B11A6">
        <w:rPr>
          <w:lang w:val="lv-LV"/>
        </w:rPr>
        <w:t>ES</w:t>
      </w:r>
      <w:r w:rsidRPr="003B11A6">
        <w:rPr>
          <w:lang w:val="lv-LV"/>
        </w:rPr>
        <w:t xml:space="preserve">. </w:t>
      </w:r>
      <w:r w:rsidR="00775367" w:rsidRPr="003B11A6">
        <w:rPr>
          <w:lang w:val="lv-LV"/>
        </w:rPr>
        <w:t>Tas palīdz pārvarēt dažādus ekonomiskos svārstību ciklus.</w:t>
      </w:r>
      <w:r w:rsidRPr="003B11A6">
        <w:rPr>
          <w:lang w:val="lv-LV"/>
        </w:rPr>
        <w:t xml:space="preserve"> Šobrīd Ekonomikas ministrija attīsta ciešāku sadarbību ar Tālo tirgu valstīm – ASV, Ķīnu un Apvienotajiem Arābu Emirātiem.</w:t>
      </w:r>
    </w:p>
    <w:p w14:paraId="08A711ED" w14:textId="77777777" w:rsidR="00E23336" w:rsidRPr="003B11A6" w:rsidRDefault="00E23336" w:rsidP="00E23336">
      <w:pPr>
        <w:pStyle w:val="DashEqual1"/>
        <w:numPr>
          <w:ilvl w:val="0"/>
          <w:numId w:val="0"/>
        </w:numPr>
        <w:ind w:firstLine="567"/>
        <w:rPr>
          <w:lang w:val="lv-LV"/>
        </w:rPr>
      </w:pPr>
    </w:p>
    <w:p w14:paraId="0C675AC3" w14:textId="77777777" w:rsidR="002B1FC9" w:rsidRPr="003B11A6" w:rsidRDefault="00FF0DC9" w:rsidP="003F03EB">
      <w:pPr>
        <w:pStyle w:val="DashEqual1"/>
        <w:numPr>
          <w:ilvl w:val="0"/>
          <w:numId w:val="4"/>
        </w:numPr>
        <w:ind w:left="567" w:hanging="567"/>
        <w:rPr>
          <w:b/>
          <w:lang w:val="lv-LV"/>
        </w:rPr>
      </w:pPr>
      <w:r w:rsidRPr="003B11A6">
        <w:rPr>
          <w:b/>
          <w:lang w:val="lv-LV"/>
        </w:rPr>
        <w:lastRenderedPageBreak/>
        <w:t>Preču pakotne: Par priekšlikumu Eiropas Parlamenta un Padomes Regulai par citā dalībvalstī likumīgi tirgotu preču savstarpēju atzīšanu</w:t>
      </w:r>
    </w:p>
    <w:p w14:paraId="74119E03" w14:textId="77777777" w:rsidR="001A2487" w:rsidRPr="003B11A6" w:rsidRDefault="001A2487" w:rsidP="00D47A68">
      <w:pPr>
        <w:pStyle w:val="DashEqual1"/>
        <w:numPr>
          <w:ilvl w:val="0"/>
          <w:numId w:val="0"/>
        </w:numPr>
        <w:spacing w:after="0"/>
        <w:ind w:left="567"/>
        <w:rPr>
          <w:i/>
          <w:lang w:val="lv-LV"/>
        </w:rPr>
      </w:pPr>
      <w:r w:rsidRPr="003B11A6">
        <w:rPr>
          <w:i/>
          <w:lang w:val="lv-LV"/>
        </w:rPr>
        <w:t xml:space="preserve">= </w:t>
      </w:r>
      <w:r w:rsidR="00FF0DC9" w:rsidRPr="003B11A6">
        <w:rPr>
          <w:i/>
          <w:lang w:val="lv-LV"/>
        </w:rPr>
        <w:t>Vispārēja pieejas a</w:t>
      </w:r>
      <w:r w:rsidRPr="003B11A6">
        <w:rPr>
          <w:i/>
          <w:lang w:val="lv-LV"/>
        </w:rPr>
        <w:t>pstiprināšana</w:t>
      </w:r>
    </w:p>
    <w:p w14:paraId="62E7DB9D" w14:textId="77777777" w:rsidR="00F13B57" w:rsidRPr="003B11A6" w:rsidRDefault="00F13B57" w:rsidP="00F13B57">
      <w:pPr>
        <w:pStyle w:val="DashEqual1"/>
        <w:numPr>
          <w:ilvl w:val="0"/>
          <w:numId w:val="0"/>
        </w:numPr>
        <w:ind w:left="567"/>
        <w:rPr>
          <w:i/>
          <w:lang w:val="lv-LV"/>
        </w:rPr>
      </w:pPr>
      <w:r w:rsidRPr="003B11A6">
        <w:rPr>
          <w:i/>
          <w:lang w:val="lv-LV"/>
        </w:rPr>
        <w:t xml:space="preserve">= </w:t>
      </w:r>
      <w:r w:rsidR="00FF0DC9" w:rsidRPr="003B11A6">
        <w:rPr>
          <w:i/>
          <w:lang w:val="lv-LV"/>
        </w:rPr>
        <w:t>Progresa ziņojums</w:t>
      </w:r>
    </w:p>
    <w:p w14:paraId="73E1000E" w14:textId="79C5F688" w:rsidR="00FF0DC9" w:rsidRPr="003B11A6" w:rsidRDefault="00331EFF" w:rsidP="00FF0DC9">
      <w:pPr>
        <w:pStyle w:val="DashEqual1"/>
        <w:numPr>
          <w:ilvl w:val="0"/>
          <w:numId w:val="0"/>
        </w:numPr>
        <w:ind w:firstLine="567"/>
        <w:rPr>
          <w:rFonts w:eastAsia="Times New Roman"/>
          <w:lang w:val="lv-LV" w:eastAsia="lv-LV"/>
        </w:rPr>
      </w:pPr>
      <w:r w:rsidRPr="003B11A6">
        <w:rPr>
          <w:rFonts w:eastAsia="Times New Roman"/>
          <w:lang w:val="lv-LV" w:eastAsia="lv-LV"/>
        </w:rPr>
        <w:t xml:space="preserve">Neskatoties uz sasniegto progresu ES </w:t>
      </w:r>
      <w:r w:rsidR="00FF0DC9" w:rsidRPr="003B11A6">
        <w:rPr>
          <w:rFonts w:eastAsia="Times New Roman"/>
          <w:lang w:val="lv-LV" w:eastAsia="lv-LV"/>
        </w:rPr>
        <w:t xml:space="preserve">Vienotā tirgus taisnīgā īstenošanā, </w:t>
      </w:r>
      <w:r w:rsidRPr="003B11A6">
        <w:rPr>
          <w:rFonts w:eastAsia="Times New Roman"/>
          <w:lang w:val="lv-LV" w:eastAsia="lv-LV"/>
        </w:rPr>
        <w:t xml:space="preserve">ES </w:t>
      </w:r>
      <w:r w:rsidR="00FF0DC9" w:rsidRPr="003B11A6">
        <w:rPr>
          <w:rFonts w:eastAsia="Times New Roman"/>
          <w:lang w:val="lv-LV" w:eastAsia="lv-LV"/>
        </w:rPr>
        <w:t xml:space="preserve">uzņēmēji un iedzīvotāji joprojām ikdienā saskaras ar dažādiem regulatīviem un neregulatīviem šķēršļiem, kas liedz </w:t>
      </w:r>
      <w:r w:rsidRPr="003B11A6">
        <w:rPr>
          <w:rFonts w:eastAsia="Times New Roman"/>
          <w:lang w:val="lv-LV" w:eastAsia="lv-LV"/>
        </w:rPr>
        <w:t xml:space="preserve">pilnvērtīgi izmantot </w:t>
      </w:r>
      <w:r w:rsidR="00FF0DC9" w:rsidRPr="003B11A6">
        <w:rPr>
          <w:rFonts w:eastAsia="Times New Roman"/>
          <w:lang w:val="lv-LV" w:eastAsia="lv-LV"/>
        </w:rPr>
        <w:t xml:space="preserve">ES Vienotā tirgus </w:t>
      </w:r>
      <w:r w:rsidRPr="003B11A6">
        <w:rPr>
          <w:rFonts w:eastAsia="Times New Roman"/>
          <w:lang w:val="lv-LV" w:eastAsia="lv-LV"/>
        </w:rPr>
        <w:t>sniegtās priekšrocības</w:t>
      </w:r>
      <w:r w:rsidR="00FF0DC9" w:rsidRPr="003B11A6">
        <w:rPr>
          <w:rFonts w:eastAsia="Times New Roman"/>
          <w:lang w:val="lv-LV" w:eastAsia="lv-LV"/>
        </w:rPr>
        <w:t xml:space="preserve">. </w:t>
      </w:r>
      <w:r w:rsidR="00067A38" w:rsidRPr="003B11A6">
        <w:rPr>
          <w:rFonts w:eastAsia="Times New Roman"/>
          <w:lang w:val="lv-LV" w:eastAsia="lv-LV"/>
        </w:rPr>
        <w:t xml:space="preserve">Šobrīd </w:t>
      </w:r>
      <w:r w:rsidR="00FF0DC9" w:rsidRPr="003B11A6">
        <w:rPr>
          <w:rFonts w:eastAsia="Times New Roman"/>
          <w:lang w:val="lv-LV" w:eastAsia="lv-LV"/>
        </w:rPr>
        <w:t>ES dalībvalstīs savstarpējas atzīšanas principa piemērošana tiek īstenota nepietiekami vai reti situācijās, kad nav kopīgu noteikumu attiecībā uz prasībām preču laišanai brīvā tirdzniecībā.</w:t>
      </w:r>
    </w:p>
    <w:p w14:paraId="19CC1A1D" w14:textId="7202F92F" w:rsidR="00FF0DC9" w:rsidRPr="003B11A6" w:rsidRDefault="00FF0DC9" w:rsidP="00FF0DC9">
      <w:pPr>
        <w:pStyle w:val="DashEqual1"/>
        <w:numPr>
          <w:ilvl w:val="0"/>
          <w:numId w:val="0"/>
        </w:numPr>
        <w:ind w:firstLine="567"/>
        <w:rPr>
          <w:rFonts w:eastAsia="Times New Roman"/>
          <w:lang w:val="lv-LV" w:eastAsia="lv-LV"/>
        </w:rPr>
      </w:pPr>
      <w:r w:rsidRPr="003B11A6">
        <w:rPr>
          <w:rFonts w:eastAsia="Times New Roman"/>
          <w:lang w:val="lv-LV" w:eastAsia="lv-LV"/>
        </w:rPr>
        <w:t xml:space="preserve">Lai atrisinātu ar savstarpējās atzīšanas principa piemērošanu </w:t>
      </w:r>
      <w:r w:rsidR="00331EFF" w:rsidRPr="003B11A6">
        <w:rPr>
          <w:rFonts w:eastAsia="Times New Roman"/>
          <w:lang w:val="lv-LV" w:eastAsia="lv-LV"/>
        </w:rPr>
        <w:t>saistītos izaicinājumus</w:t>
      </w:r>
      <w:r w:rsidRPr="003B11A6">
        <w:rPr>
          <w:rFonts w:eastAsia="Times New Roman"/>
          <w:lang w:val="lv-LV" w:eastAsia="lv-LV"/>
        </w:rPr>
        <w:t>, 2017.gada 19.decembrī EK nāca klājā ar likumdošanas aktu kopumu – Preču pakotni.</w:t>
      </w:r>
      <w:r w:rsidR="005F4B1E" w:rsidRPr="003B11A6">
        <w:rPr>
          <w:rFonts w:eastAsia="Times New Roman"/>
          <w:lang w:val="lv-LV" w:eastAsia="lv-LV"/>
        </w:rPr>
        <w:t xml:space="preserve"> </w:t>
      </w:r>
      <w:r w:rsidRPr="003B11A6">
        <w:rPr>
          <w:rFonts w:eastAsia="Times New Roman"/>
          <w:lang w:val="lv-LV" w:eastAsia="lv-LV"/>
        </w:rPr>
        <w:t>Preču pakotnes ietvaros EK publicēja paziņojumu “</w:t>
      </w:r>
      <w:r w:rsidRPr="003B11A6">
        <w:rPr>
          <w:rFonts w:eastAsia="Times New Roman"/>
          <w:i/>
          <w:lang w:val="lv-LV" w:eastAsia="lv-LV"/>
        </w:rPr>
        <w:t>Preču tiesību aktu kopums. Stiprināt uzticēšanos Vienotajam tirgum</w:t>
      </w:r>
      <w:r w:rsidRPr="003B11A6">
        <w:rPr>
          <w:rFonts w:eastAsia="Times New Roman"/>
          <w:lang w:val="lv-LV" w:eastAsia="lv-LV"/>
        </w:rPr>
        <w:t>”  un d</w:t>
      </w:r>
      <w:r w:rsidR="00E23336" w:rsidRPr="003B11A6">
        <w:rPr>
          <w:rFonts w:eastAsia="Times New Roman"/>
          <w:lang w:val="lv-LV" w:eastAsia="lv-LV"/>
        </w:rPr>
        <w:t>ivus tiesību aktu priekšlikumus:</w:t>
      </w:r>
    </w:p>
    <w:p w14:paraId="46129C48" w14:textId="77777777" w:rsidR="00FF0DC9" w:rsidRPr="003B11A6" w:rsidRDefault="00067A38" w:rsidP="00FF0DC9">
      <w:pPr>
        <w:pStyle w:val="DashEqual1"/>
        <w:numPr>
          <w:ilvl w:val="0"/>
          <w:numId w:val="0"/>
        </w:numPr>
        <w:ind w:firstLine="567"/>
        <w:rPr>
          <w:rFonts w:eastAsia="Times New Roman"/>
          <w:lang w:val="lv-LV" w:eastAsia="lv-LV"/>
        </w:rPr>
      </w:pPr>
      <w:r w:rsidRPr="003B11A6">
        <w:rPr>
          <w:rFonts w:eastAsia="Times New Roman"/>
          <w:lang w:val="lv-LV" w:eastAsia="lv-LV"/>
        </w:rPr>
        <w:t xml:space="preserve">1) </w:t>
      </w:r>
      <w:r w:rsidR="00FF0DC9" w:rsidRPr="003B11A6">
        <w:rPr>
          <w:rFonts w:eastAsia="Times New Roman"/>
          <w:lang w:val="lv-LV" w:eastAsia="lv-LV"/>
        </w:rPr>
        <w:t xml:space="preserve">priekšlikumu Eiropas Parlamenta (turpmāk – EP) un Padomes Regulai par citā DV likumīgi tirgotu preču </w:t>
      </w:r>
      <w:r w:rsidR="005F4B1E" w:rsidRPr="003B11A6">
        <w:rPr>
          <w:rFonts w:eastAsia="Times New Roman"/>
          <w:lang w:val="lv-LV" w:eastAsia="lv-LV"/>
        </w:rPr>
        <w:t>savstarpējo atzīšanu</w:t>
      </w:r>
      <w:r w:rsidR="00FF0DC9" w:rsidRPr="003B11A6">
        <w:rPr>
          <w:rFonts w:eastAsia="Times New Roman"/>
          <w:lang w:val="lv-LV" w:eastAsia="lv-LV"/>
        </w:rPr>
        <w:t>;</w:t>
      </w:r>
    </w:p>
    <w:p w14:paraId="53025683" w14:textId="771E6FF0" w:rsidR="00FF0DC9" w:rsidRPr="003B11A6" w:rsidRDefault="00067A38" w:rsidP="00FF0DC9">
      <w:pPr>
        <w:pStyle w:val="DashEqual1"/>
        <w:numPr>
          <w:ilvl w:val="0"/>
          <w:numId w:val="0"/>
        </w:numPr>
        <w:ind w:firstLine="567"/>
        <w:rPr>
          <w:rFonts w:eastAsia="Times New Roman"/>
          <w:lang w:val="lv-LV" w:eastAsia="lv-LV"/>
        </w:rPr>
      </w:pPr>
      <w:r w:rsidRPr="003B11A6">
        <w:rPr>
          <w:rFonts w:eastAsia="Times New Roman"/>
          <w:lang w:val="lv-LV" w:eastAsia="lv-LV"/>
        </w:rPr>
        <w:t xml:space="preserve">2) priekšlikumu EP un Padomes regulai, ar ko paredz noteikumus un kārtību, kādā nodrošina atbilstību Savienības harmonizācijas tiesību aktiem par precēm un to izpildi, un ar ko groza EP un Padomes Regulas (ES) Nr. 305/2011, (ES) Nr. 528/2012, (ES) 2016/424, (ES) 2016/425, (ES) 2016/426 un (ES) 2017/1369 un EP un Padomes Direktīvas 2004/42/EK, 2009/48/EK, 2010/35/ES, 2013/29/ES, 2013/53/ES, 2014/28/ES, 2014/29/ES, 2014/30/ES, 2014/31/ES, 2014/31/ES, 2014/32/ES, 2014/33/ES, 2014/34/ES, 2014/35/ES, 2014/53/ES, 2014/68/ES un 2014/90/ES (turpmāk – Atbilstības un </w:t>
      </w:r>
      <w:r w:rsidR="00331EFF" w:rsidRPr="003B11A6">
        <w:rPr>
          <w:rFonts w:eastAsia="Times New Roman"/>
          <w:lang w:val="lv-LV" w:eastAsia="lv-LV"/>
        </w:rPr>
        <w:t xml:space="preserve">uzraudzības </w:t>
      </w:r>
      <w:r w:rsidRPr="003B11A6">
        <w:rPr>
          <w:rFonts w:eastAsia="Times New Roman"/>
          <w:lang w:val="lv-LV" w:eastAsia="lv-LV"/>
        </w:rPr>
        <w:t>priekšlikums)</w:t>
      </w:r>
      <w:r w:rsidR="00FF0DC9" w:rsidRPr="003B11A6">
        <w:rPr>
          <w:rFonts w:eastAsia="Times New Roman"/>
          <w:lang w:val="lv-LV" w:eastAsia="lv-LV"/>
        </w:rPr>
        <w:t>.</w:t>
      </w:r>
    </w:p>
    <w:p w14:paraId="1BBDD00F" w14:textId="77777777" w:rsidR="00067A38" w:rsidRPr="003B11A6" w:rsidRDefault="00067A38" w:rsidP="003B11A6">
      <w:pPr>
        <w:pStyle w:val="DashEqual1"/>
        <w:numPr>
          <w:ilvl w:val="0"/>
          <w:numId w:val="0"/>
        </w:numPr>
        <w:ind w:firstLine="567"/>
        <w:rPr>
          <w:lang w:val="lv-LV"/>
        </w:rPr>
      </w:pPr>
      <w:r w:rsidRPr="003B11A6">
        <w:rPr>
          <w:lang w:val="lv-LV"/>
        </w:rPr>
        <w:t xml:space="preserve">Savstarpējās atzīšanas princips paredz, ka, ja Eiropas līmenī nav saskaņotu noteikumu, vienā </w:t>
      </w:r>
      <w:r w:rsidR="00181542" w:rsidRPr="003B11A6">
        <w:rPr>
          <w:lang w:val="lv-LV"/>
        </w:rPr>
        <w:t>dalībvalstī</w:t>
      </w:r>
      <w:r w:rsidRPr="003B11A6">
        <w:rPr>
          <w:lang w:val="lv-LV"/>
        </w:rPr>
        <w:t xml:space="preserve"> likumīgi tirgotus produktus neatkarīgi no tā, vai tie atbilst minēto </w:t>
      </w:r>
      <w:r w:rsidR="00181542" w:rsidRPr="003B11A6">
        <w:rPr>
          <w:lang w:val="lv-LV"/>
        </w:rPr>
        <w:t>dalībvalstu</w:t>
      </w:r>
      <w:r w:rsidRPr="003B11A6">
        <w:rPr>
          <w:lang w:val="lv-LV"/>
        </w:rPr>
        <w:t xml:space="preserve"> nacionālajiem </w:t>
      </w:r>
      <w:r w:rsidRPr="003B11A6">
        <w:rPr>
          <w:rFonts w:eastAsia="Times New Roman"/>
          <w:lang w:val="lv-LV" w:eastAsia="lv-LV"/>
        </w:rPr>
        <w:t>tehniskajiem</w:t>
      </w:r>
      <w:r w:rsidRPr="003B11A6">
        <w:rPr>
          <w:lang w:val="lv-LV"/>
        </w:rPr>
        <w:t xml:space="preserve"> noteikumiem, drīkst pārdot citās </w:t>
      </w:r>
      <w:r w:rsidR="00181542" w:rsidRPr="003B11A6">
        <w:rPr>
          <w:lang w:val="lv-LV"/>
        </w:rPr>
        <w:t>dalībvalstī</w:t>
      </w:r>
      <w:r w:rsidRPr="003B11A6">
        <w:rPr>
          <w:lang w:val="lv-LV"/>
        </w:rPr>
        <w:t xml:space="preserve">. Tādējādi </w:t>
      </w:r>
      <w:r w:rsidR="00181542" w:rsidRPr="003B11A6">
        <w:rPr>
          <w:lang w:val="lv-LV"/>
        </w:rPr>
        <w:t>dalībvalstis</w:t>
      </w:r>
      <w:r w:rsidRPr="003B11A6">
        <w:rPr>
          <w:lang w:val="lv-LV"/>
        </w:rPr>
        <w:t xml:space="preserve"> savstarpēji atzīst, ka nacionālie tehniskie noteikumi līdzvērtīgi aizsargā sabiedrības intereses.</w:t>
      </w:r>
    </w:p>
    <w:p w14:paraId="5BE39B93" w14:textId="77777777" w:rsidR="00067A38" w:rsidRPr="003B11A6" w:rsidRDefault="00181542" w:rsidP="003B11A6">
      <w:pPr>
        <w:pStyle w:val="DashEqual1"/>
        <w:numPr>
          <w:ilvl w:val="0"/>
          <w:numId w:val="0"/>
        </w:numPr>
        <w:ind w:firstLine="567"/>
        <w:rPr>
          <w:lang w:val="lv-LV"/>
        </w:rPr>
      </w:pPr>
      <w:r w:rsidRPr="003B11A6">
        <w:rPr>
          <w:rFonts w:eastAsia="Times New Roman"/>
          <w:lang w:val="lv-LV" w:eastAsia="lv-LV"/>
        </w:rPr>
        <w:t>Savstarpējā</w:t>
      </w:r>
      <w:r w:rsidRPr="003B11A6">
        <w:rPr>
          <w:lang w:val="lv-LV"/>
        </w:rPr>
        <w:t xml:space="preserve"> atzīšana</w:t>
      </w:r>
      <w:r w:rsidR="00067A38" w:rsidRPr="003B11A6">
        <w:rPr>
          <w:lang w:val="lv-LV"/>
        </w:rPr>
        <w:t xml:space="preserve"> attiecas uz neharmonizētiem produktiem, kuriem nepiemēro ES saskaņošanas tiesību aktus, vai kuriem tos piemēro tikai daļēji, piemēram, tekstilizstrādājumiem, apaviem, bērnu aprūpes precēm, rotaslietām, galda piederumiem vai mēbelēm.</w:t>
      </w:r>
      <w:r w:rsidR="00067A38" w:rsidRPr="003B11A6">
        <w:rPr>
          <w:color w:val="7030A0"/>
          <w:lang w:val="lv-LV"/>
        </w:rPr>
        <w:t xml:space="preserve"> </w:t>
      </w:r>
      <w:r w:rsidR="00067A38" w:rsidRPr="003B11A6">
        <w:rPr>
          <w:lang w:val="lv-LV"/>
        </w:rPr>
        <w:t xml:space="preserve">Turklāt </w:t>
      </w:r>
      <w:r w:rsidR="005F4B1E" w:rsidRPr="003B11A6">
        <w:rPr>
          <w:rFonts w:eastAsia="Times New Roman"/>
          <w:lang w:val="lv-LV" w:eastAsia="lv-LV"/>
        </w:rPr>
        <w:t xml:space="preserve">savstarpējā atzīšana </w:t>
      </w:r>
      <w:r w:rsidR="00067A38" w:rsidRPr="003B11A6">
        <w:rPr>
          <w:lang w:val="lv-LV"/>
        </w:rPr>
        <w:t xml:space="preserve">ir īpaši nozīmīga inovāciju atbalstam, jo jaunu inovatīvu produktu jomā nav harmonizētu noteikumu. Līdz ar to uzņēmumiem ir jāpaļaujas uz spēkā esošajiem noteikumiem valsts līmenī vai arī jāstrādā situācijā  ar standartu neesamību. Tas nozīmē, ka </w:t>
      </w:r>
      <w:r w:rsidRPr="003B11A6">
        <w:rPr>
          <w:lang w:val="lv-LV"/>
        </w:rPr>
        <w:t>savstarpējā atzīšana</w:t>
      </w:r>
      <w:r w:rsidR="00067A38" w:rsidRPr="003B11A6">
        <w:rPr>
          <w:lang w:val="lv-LV"/>
        </w:rPr>
        <w:t xml:space="preserve"> ir vienīgā alternatīva uzņēmumiem, kas vēlas pārdot jaunus vai inovatīvus produktus citās </w:t>
      </w:r>
      <w:r w:rsidR="00331EFF" w:rsidRPr="003B11A6">
        <w:rPr>
          <w:lang w:val="lv-LV"/>
        </w:rPr>
        <w:t xml:space="preserve">ES </w:t>
      </w:r>
      <w:r w:rsidRPr="003B11A6">
        <w:rPr>
          <w:lang w:val="lv-LV"/>
        </w:rPr>
        <w:t>dalībvalstīs</w:t>
      </w:r>
      <w:r w:rsidR="00067A38" w:rsidRPr="003B11A6">
        <w:rPr>
          <w:lang w:val="lv-LV"/>
        </w:rPr>
        <w:t>.</w:t>
      </w:r>
    </w:p>
    <w:p w14:paraId="45D44539" w14:textId="77777777" w:rsidR="00067A38" w:rsidRPr="003B11A6" w:rsidRDefault="00067A38" w:rsidP="00067A38">
      <w:pPr>
        <w:pStyle w:val="DashEqual1"/>
        <w:numPr>
          <w:ilvl w:val="0"/>
          <w:numId w:val="0"/>
        </w:numPr>
        <w:ind w:firstLine="567"/>
        <w:rPr>
          <w:color w:val="000000"/>
          <w:u w:val="single"/>
          <w:lang w:val="lv-LV"/>
        </w:rPr>
      </w:pPr>
      <w:r w:rsidRPr="003B11A6">
        <w:rPr>
          <w:lang w:val="lv-LV"/>
        </w:rPr>
        <w:t xml:space="preserve">Sākotnējais </w:t>
      </w:r>
      <w:r w:rsidR="00181542" w:rsidRPr="003B11A6">
        <w:rPr>
          <w:lang w:val="lv-LV"/>
        </w:rPr>
        <w:t>savstarpējās atzīšanas</w:t>
      </w:r>
      <w:r w:rsidRPr="003B11A6">
        <w:rPr>
          <w:lang w:val="lv-LV"/>
        </w:rPr>
        <w:t xml:space="preserve"> regulējums nebija efektīvs un līdz ar to 2008.gada 9.jūlijā tika pieņemts ierosinājums aizstāt </w:t>
      </w:r>
      <w:r w:rsidR="00181542" w:rsidRPr="003B11A6">
        <w:rPr>
          <w:bCs/>
          <w:lang w:val="lv-LV"/>
        </w:rPr>
        <w:t>savstarpējās atzīšanas</w:t>
      </w:r>
      <w:r w:rsidRPr="003B11A6">
        <w:rPr>
          <w:bCs/>
          <w:lang w:val="lv-LV"/>
        </w:rPr>
        <w:t xml:space="preserve"> pamata regulu ar jaunu regulu</w:t>
      </w:r>
      <w:r w:rsidRPr="003B11A6">
        <w:rPr>
          <w:rStyle w:val="FootnoteReference"/>
          <w:bCs/>
          <w:lang w:val="lv-LV"/>
        </w:rPr>
        <w:footnoteReference w:id="2"/>
      </w:r>
      <w:r w:rsidRPr="003B11A6">
        <w:rPr>
          <w:lang w:val="lv-LV"/>
        </w:rPr>
        <w:t>, kas precizē un vienkāršo</w:t>
      </w:r>
      <w:r w:rsidR="00181542" w:rsidRPr="003B11A6">
        <w:rPr>
          <w:lang w:val="lv-LV"/>
        </w:rPr>
        <w:t xml:space="preserve"> esošo regulējumu, tomēr tajā joprojām paredzētās procesuālās prasības izrādījās nepietiekamas, lai nodrošinātu savstarpējā atzīšanas principa vieglu, uzticamu un lietotājam draudzīgu piemērošanu. Rezultātā EK izstrādāja tiesību aktu priekšlikumus Preču pakotnes ietvaros, lai uzlabotu esošo </w:t>
      </w:r>
      <w:r w:rsidR="00503097" w:rsidRPr="003B11A6">
        <w:rPr>
          <w:lang w:val="lv-LV"/>
        </w:rPr>
        <w:t>savstarpējās atzīšanas</w:t>
      </w:r>
      <w:r w:rsidR="00181542" w:rsidRPr="003B11A6">
        <w:rPr>
          <w:lang w:val="lv-LV"/>
        </w:rPr>
        <w:t xml:space="preserve"> regulējumu. Pakotnes vispārīgais mērķis ir panākt taisnīgāku un padziļinātāku ES Vienoto preču tirgu, pateicoties plašākai un labākai </w:t>
      </w:r>
      <w:r w:rsidR="005F4B1E" w:rsidRPr="003B11A6">
        <w:rPr>
          <w:rFonts w:eastAsia="Times New Roman"/>
          <w:lang w:val="lv-LV" w:eastAsia="lv-LV"/>
        </w:rPr>
        <w:t xml:space="preserve">savstarpējās atzīšanas </w:t>
      </w:r>
      <w:r w:rsidR="00181542" w:rsidRPr="003B11A6">
        <w:rPr>
          <w:lang w:val="lv-LV"/>
        </w:rPr>
        <w:t>piemērošanai.</w:t>
      </w:r>
    </w:p>
    <w:p w14:paraId="7B7067FB" w14:textId="77777777" w:rsidR="00076E90" w:rsidRPr="003B11A6" w:rsidRDefault="00076E90" w:rsidP="00FF0DC9">
      <w:pPr>
        <w:pStyle w:val="DashEqual1"/>
        <w:numPr>
          <w:ilvl w:val="0"/>
          <w:numId w:val="0"/>
        </w:numPr>
        <w:ind w:firstLine="567"/>
        <w:rPr>
          <w:color w:val="000000"/>
          <w:lang w:val="lv-LV"/>
        </w:rPr>
      </w:pPr>
      <w:r w:rsidRPr="003B11A6">
        <w:rPr>
          <w:b/>
          <w:color w:val="000000"/>
          <w:u w:val="single"/>
          <w:lang w:val="lv-LV"/>
        </w:rPr>
        <w:lastRenderedPageBreak/>
        <w:t>Latvijas nostāja:</w:t>
      </w:r>
    </w:p>
    <w:p w14:paraId="225204F1" w14:textId="77777777" w:rsidR="00D10B8E" w:rsidRPr="003B11A6" w:rsidRDefault="005F4B1E" w:rsidP="00D10B8E">
      <w:r w:rsidRPr="003B11A6">
        <w:t xml:space="preserve">Ekonomikas ministrija ir izstrādājusi </w:t>
      </w:r>
      <w:r w:rsidR="00D10B8E" w:rsidRPr="003B11A6">
        <w:t>Latvijas Republikas nacionāl</w:t>
      </w:r>
      <w:r w:rsidRPr="003B11A6">
        <w:t>o</w:t>
      </w:r>
      <w:r w:rsidR="00D10B8E" w:rsidRPr="003B11A6">
        <w:t xml:space="preserve"> pozīcij</w:t>
      </w:r>
      <w:r w:rsidRPr="003B11A6">
        <w:t>u</w:t>
      </w:r>
      <w:r w:rsidR="00D10B8E" w:rsidRPr="003B11A6">
        <w:t xml:space="preserve"> Nr.1 </w:t>
      </w:r>
      <w:r w:rsidR="00D10B8E" w:rsidRPr="003B11A6">
        <w:rPr>
          <w:i/>
        </w:rPr>
        <w:t>"Par priekšlikumu Eiropas Parlamenta un Padomes Regulai par citā dalībvalstī likumīgi tirgotu preču savstarpēju atzīšanu"</w:t>
      </w:r>
      <w:r w:rsidR="00D10B8E" w:rsidRPr="003B11A6">
        <w:t>.</w:t>
      </w:r>
    </w:p>
    <w:p w14:paraId="3F9455A9" w14:textId="24E708B4" w:rsidR="00084271" w:rsidRPr="003B11A6" w:rsidRDefault="00331EFF" w:rsidP="00084271">
      <w:pPr>
        <w:spacing w:before="120"/>
        <w:rPr>
          <w:bCs/>
        </w:rPr>
      </w:pPr>
      <w:r w:rsidRPr="003B11A6">
        <w:rPr>
          <w:bCs/>
        </w:rPr>
        <w:t xml:space="preserve">Latvija atbalsta priekšlikuma mērķi un vispārējās pieejas apstiprināšanu ES Konkurētspējas ministru padomes sanāksmē. </w:t>
      </w:r>
      <w:r w:rsidR="005F4B1E" w:rsidRPr="003B11A6">
        <w:rPr>
          <w:bCs/>
        </w:rPr>
        <w:t xml:space="preserve">Saskaņā ar </w:t>
      </w:r>
      <w:r w:rsidRPr="003B11A6">
        <w:rPr>
          <w:bCs/>
        </w:rPr>
        <w:t>pozīciju</w:t>
      </w:r>
      <w:r w:rsidR="005F4B1E" w:rsidRPr="003B11A6">
        <w:rPr>
          <w:bCs/>
        </w:rPr>
        <w:t xml:space="preserve">, </w:t>
      </w:r>
      <w:r w:rsidR="00084271" w:rsidRPr="003B11A6">
        <w:rPr>
          <w:bCs/>
        </w:rPr>
        <w:t>Latvijai ir svarīgi, lai savstarpējās atzīšanas princips tiktu efektīvi piemērots un strādātu praksē valsts iestādēs, savukārt uzņēmējiem būtu pietiekama izpratne par tā sniegtajām priekšrocībām.</w:t>
      </w:r>
    </w:p>
    <w:p w14:paraId="7C7DBE18" w14:textId="77777777" w:rsidR="00084271" w:rsidRPr="003B11A6" w:rsidRDefault="00084271" w:rsidP="00084271">
      <w:pPr>
        <w:spacing w:before="120"/>
        <w:rPr>
          <w:bCs/>
        </w:rPr>
      </w:pPr>
      <w:r w:rsidRPr="003B11A6">
        <w:rPr>
          <w:bCs/>
        </w:rPr>
        <w:t>Latvija uzskata, ka EK kā prioritāte attiecībā uz savstarpējā atzīšanas principa efektīvu darbību nākotnē, papildus leģislatīviem pasākumiem, jāveic informētības līmeņa un izpratnes paaugstināšana gan valsts iestāžu, gan uzņēmēju vidū, notifikāciju par produktu neielaišanu tirgū vai izņemšanu no tirgus analīze, kā arī pārkāpuma procedūras uzsākšana gadījumos, kad savstarpējās atzīšanas princips netiek pienācīgi ievērots valsts iestādēs.</w:t>
      </w:r>
    </w:p>
    <w:p w14:paraId="7EF299BF" w14:textId="77777777" w:rsidR="008D22FE" w:rsidRPr="003B11A6" w:rsidRDefault="008D22FE" w:rsidP="00AB2522">
      <w:pPr>
        <w:pStyle w:val="DashEqual1"/>
        <w:numPr>
          <w:ilvl w:val="0"/>
          <w:numId w:val="0"/>
        </w:numPr>
        <w:rPr>
          <w:i/>
          <w:lang w:val="lv-LV"/>
        </w:rPr>
      </w:pPr>
    </w:p>
    <w:p w14:paraId="3C013E7B" w14:textId="7994C1A7" w:rsidR="00DB73CF" w:rsidRPr="003B11A6" w:rsidRDefault="002D39DE" w:rsidP="003F03EB">
      <w:pPr>
        <w:pStyle w:val="DashEqual1"/>
        <w:numPr>
          <w:ilvl w:val="0"/>
          <w:numId w:val="4"/>
        </w:numPr>
        <w:ind w:left="567" w:hanging="567"/>
        <w:rPr>
          <w:b/>
          <w:lang w:val="lv-LV"/>
        </w:rPr>
      </w:pPr>
      <w:r w:rsidRPr="003B11A6">
        <w:rPr>
          <w:b/>
          <w:lang w:val="lv-LV"/>
        </w:rPr>
        <w:t xml:space="preserve">Par </w:t>
      </w:r>
      <w:r w:rsidR="004C1741" w:rsidRPr="003B11A6">
        <w:rPr>
          <w:b/>
          <w:lang w:val="lv-LV"/>
        </w:rPr>
        <w:t>Eiropas Parlamenta un Padomes Regulai par taisnīguma un pārredzamības veicināšanu komerciālajiem lietotājiem paredzētos tiešsaistes starpniecības pakalpojumos.</w:t>
      </w:r>
    </w:p>
    <w:p w14:paraId="16C6C589" w14:textId="77777777" w:rsidR="00DB73CF" w:rsidRPr="003B11A6" w:rsidRDefault="00DB73CF" w:rsidP="00D47A68">
      <w:pPr>
        <w:pStyle w:val="DashEqual1"/>
        <w:numPr>
          <w:ilvl w:val="0"/>
          <w:numId w:val="0"/>
        </w:numPr>
        <w:spacing w:after="0"/>
        <w:ind w:left="567"/>
        <w:rPr>
          <w:i/>
          <w:lang w:val="lv-LV"/>
        </w:rPr>
      </w:pPr>
      <w:r w:rsidRPr="003B11A6">
        <w:rPr>
          <w:i/>
          <w:lang w:val="lv-LV"/>
        </w:rPr>
        <w:t xml:space="preserve">= </w:t>
      </w:r>
      <w:r w:rsidR="002D39DE" w:rsidRPr="003B11A6">
        <w:rPr>
          <w:i/>
          <w:lang w:val="lv-LV"/>
        </w:rPr>
        <w:t>Politiska diskusija</w:t>
      </w:r>
    </w:p>
    <w:p w14:paraId="6294CBDE" w14:textId="77777777" w:rsidR="00845B8B" w:rsidRPr="003B11A6" w:rsidRDefault="002D39DE" w:rsidP="00845B8B">
      <w:pPr>
        <w:spacing w:before="120"/>
      </w:pPr>
      <w:r w:rsidRPr="003B11A6">
        <w:t xml:space="preserve">EK 2015.gada 6.maija paziņojumā </w:t>
      </w:r>
      <w:r w:rsidRPr="003B11A6">
        <w:rPr>
          <w:i/>
        </w:rPr>
        <w:t>Digitālā vienotā tirgus stratēģija Eiropai</w:t>
      </w:r>
      <w:r w:rsidRPr="003B11A6">
        <w:t>, cita starpā ir paredzēti pasākumi, kuru mērķis ir piemērotu apstākļu radīšana digitālo tīklu un pakalpojumu attīstībai.</w:t>
      </w:r>
      <w:r w:rsidR="00845B8B" w:rsidRPr="003B11A6">
        <w:t xml:space="preserve"> Savukārt, 2016.gada 25.maijā tika publicēts EK paziņojums </w:t>
      </w:r>
      <w:r w:rsidR="00845B8B" w:rsidRPr="003B11A6">
        <w:rPr>
          <w:i/>
        </w:rPr>
        <w:t>Tiešsaistes platformas un digitālais vienotais tirgus – Eiropas izdevības un uzdevumi</w:t>
      </w:r>
      <w:r w:rsidR="00845B8B" w:rsidRPr="003B11A6">
        <w:t xml:space="preserve">, kurā secināts, ka tiešsaistes platformas ir ļoti nozīmīgas inovācijai un izaugsmei </w:t>
      </w:r>
      <w:r w:rsidR="00357CBB" w:rsidRPr="003B11A6">
        <w:t xml:space="preserve">Digitālajā </w:t>
      </w:r>
      <w:r w:rsidR="00845B8B" w:rsidRPr="003B11A6">
        <w:t>vienotajā tirgū, ka efektīvi veicināt inovāciju šajās jomās, iespējams, ir pats svarīgākais uzdevums, kas ES jāpaveic, lai nākotnē nodrošinātu savu konkurētspēju pasaulē.</w:t>
      </w:r>
    </w:p>
    <w:p w14:paraId="015DFF36" w14:textId="77777777" w:rsidR="00845B8B" w:rsidRPr="003B11A6" w:rsidRDefault="00845B8B" w:rsidP="00845B8B">
      <w:pPr>
        <w:spacing w:before="120"/>
      </w:pPr>
      <w:r w:rsidRPr="003B11A6">
        <w:rPr>
          <w:bCs/>
        </w:rPr>
        <w:t>Viens</w:t>
      </w:r>
      <w:r w:rsidRPr="003B11A6">
        <w:t xml:space="preserve"> no šādiem pasākumiem ir 2018.gada 26.aprīļa priekšlikums Eiropas Parlamenta un Padomes Regulai </w:t>
      </w:r>
      <w:r w:rsidRPr="003B11A6">
        <w:rPr>
          <w:i/>
        </w:rPr>
        <w:t>par taisnīguma un pārredzamības veicināšanu komerciālajiem lietotājiem paredzētos tiešsaistes starpniecības pakalpojumos</w:t>
      </w:r>
      <w:r w:rsidRPr="003B11A6">
        <w:t xml:space="preserve">. </w:t>
      </w:r>
    </w:p>
    <w:p w14:paraId="0E145BE4" w14:textId="77777777" w:rsidR="00845B8B" w:rsidRPr="003B11A6" w:rsidRDefault="00845B8B" w:rsidP="005F4B1E">
      <w:pPr>
        <w:spacing w:before="120"/>
      </w:pPr>
      <w:r w:rsidRPr="003B11A6">
        <w:t>Tiešsaistes platformas ir galvenie digitālās tirdzniecības veicinātāji. Pašlaik vairāk nekā miljons ES uzņēmumu, lai sasniegtu savus klientus, tirgojas ar tiešsaistes platformu palīdzību, un ir aprēķināts, ka aptuveni 60% privātā patēriņa un 30% sabiedriskā patēriņa preču un pakalpojumu pārdošanas darījumu, kas attiecas uz kopējo digitālo ekonomiku, tiek veikti ar tiešsaistes starpnieku palīdzību.</w:t>
      </w:r>
    </w:p>
    <w:p w14:paraId="3E15DFD2" w14:textId="77777777" w:rsidR="00845B8B" w:rsidRPr="003B11A6" w:rsidRDefault="00845B8B" w:rsidP="005F4B1E">
      <w:pPr>
        <w:spacing w:before="120"/>
      </w:pPr>
      <w:r w:rsidRPr="003B11A6">
        <w:t>Savā darbībā ES tirgotāji, kuru tirdzniecības starpnieki ir tiešsaistes platformas, saskaras ar virkni potenciāli kaitējošu tirdzniecības prakšu. Tāda prakse kā izslēgšana no saraksta, nepaziņojot par iemesliem, vai pēkšņas izmaiņas noteikumos, var būtiski negatīvi ietekmēt uzņēmumus.</w:t>
      </w:r>
      <w:r w:rsidR="005F4B1E" w:rsidRPr="003B11A6">
        <w:t xml:space="preserve"> </w:t>
      </w:r>
      <w:r w:rsidRPr="003B11A6">
        <w:t>Kad rodas šādas problēmas, ES uzņēmumiem šobrīd nav pieejami efektīvi tiesiskās aizsardzības mehānismi to risināšanai.</w:t>
      </w:r>
    </w:p>
    <w:p w14:paraId="68383DC9" w14:textId="77777777" w:rsidR="00845B8B" w:rsidRPr="003B11A6" w:rsidRDefault="00845B8B" w:rsidP="005F4B1E">
      <w:pPr>
        <w:spacing w:before="120"/>
      </w:pPr>
      <w:r w:rsidRPr="003B11A6">
        <w:t>Šīs problēmas ir saistītas ar pieaugošu tiešsaistes platformu lomu starpniecības darījumos starp patērētājiem un uzņēmumiem. Uzņēmumi kļūst arvien vairāk atkarīgi no tiešsaistes platformām, un spēcīga, uz datiem balstīta tīkla ietekme kopā ar būtisku baiļu faktoru izraisa ietekmes nelīdzsvarotību starp tirgotājiem un platformām.</w:t>
      </w:r>
      <w:r w:rsidR="0009574E" w:rsidRPr="003B11A6">
        <w:t xml:space="preserve"> </w:t>
      </w:r>
      <w:r w:rsidRPr="003B11A6">
        <w:t>Rezultātā ES uzņēmēji – tiešsaistes platformas un to komerciālie lietotāji – nevar pilnībā izmantot tiešsaistes platformas ekonomikas priekšrocības. Pastāvošais tiesiskais regulējums nav pietiekami efektīvs šādu prakšu novēršanai vai tiesiskās aizsardzības nodrošināšanai.</w:t>
      </w:r>
    </w:p>
    <w:p w14:paraId="50A73CE8" w14:textId="77777777" w:rsidR="00845B8B" w:rsidRPr="003B11A6" w:rsidRDefault="00845B8B" w:rsidP="005F4B1E">
      <w:pPr>
        <w:spacing w:before="120"/>
      </w:pPr>
      <w:r w:rsidRPr="003B11A6">
        <w:lastRenderedPageBreak/>
        <w:t>Regulas priekšlikums paredz risināt konstatētās problēmas uzliekot tiešsaistes platformām prasības attiecībā uz to noteikumu kvalitāti (skaidrība, pieejamība, lēmumu skaidrošanas pienākums), kā arī nosaka prasības noteikumu grozījumu paziņošanai, kā arī to spēkā esamībai, ja netiek ievērotas iepriekšminētās prasības.</w:t>
      </w:r>
    </w:p>
    <w:p w14:paraId="59B62B83" w14:textId="77777777" w:rsidR="00595F0F" w:rsidRPr="003B11A6" w:rsidRDefault="00595F0F" w:rsidP="00595F0F">
      <w:r w:rsidRPr="003B11A6">
        <w:rPr>
          <w:b/>
          <w:color w:val="000000"/>
          <w:u w:val="single"/>
        </w:rPr>
        <w:t>Latvijas nostāja:</w:t>
      </w:r>
    </w:p>
    <w:p w14:paraId="3CB036E7" w14:textId="77777777" w:rsidR="000D62AE" w:rsidRPr="003B11A6" w:rsidRDefault="0009574E" w:rsidP="0009574E">
      <w:pPr>
        <w:spacing w:before="120"/>
        <w:rPr>
          <w:b/>
        </w:rPr>
      </w:pPr>
      <w:r w:rsidRPr="003B11A6">
        <w:t>Ekonomikas</w:t>
      </w:r>
      <w:r w:rsidRPr="003B11A6">
        <w:rPr>
          <w:b/>
        </w:rPr>
        <w:t xml:space="preserve"> </w:t>
      </w:r>
      <w:r w:rsidRPr="003B11A6">
        <w:t xml:space="preserve">ministrija ir izstrādājusi sākotnējo </w:t>
      </w:r>
      <w:r w:rsidR="00845B8B" w:rsidRPr="003B11A6">
        <w:t>Latvijas Republikas nacionāl</w:t>
      </w:r>
      <w:r w:rsidRPr="003B11A6">
        <w:t>o</w:t>
      </w:r>
      <w:r w:rsidR="00845B8B" w:rsidRPr="003B11A6">
        <w:t xml:space="preserve"> pozīcij</w:t>
      </w:r>
      <w:r w:rsidRPr="003B11A6">
        <w:t>u</w:t>
      </w:r>
      <w:r w:rsidR="00845B8B" w:rsidRPr="003B11A6">
        <w:t xml:space="preserve"> Nr.1 "</w:t>
      </w:r>
      <w:r w:rsidR="00845B8B" w:rsidRPr="003B11A6">
        <w:rPr>
          <w:i/>
        </w:rPr>
        <w:t xml:space="preserve">Par Eiropas Parlamenta un Padomes Regulas projektu par taisnīguma un </w:t>
      </w:r>
      <w:r w:rsidR="00357CBB" w:rsidRPr="003B11A6">
        <w:rPr>
          <w:i/>
        </w:rPr>
        <w:t xml:space="preserve">caursskatāmības </w:t>
      </w:r>
      <w:r w:rsidR="00845B8B" w:rsidRPr="003B11A6">
        <w:rPr>
          <w:i/>
        </w:rPr>
        <w:t>veicināšanu uzņēmējiem tiešsaistes starpniecības platformās</w:t>
      </w:r>
      <w:r w:rsidR="00845B8B" w:rsidRPr="003B11A6">
        <w:t>".</w:t>
      </w:r>
    </w:p>
    <w:p w14:paraId="4F370E7D" w14:textId="77777777" w:rsidR="00C64447" w:rsidRPr="003B11A6" w:rsidRDefault="00C64447" w:rsidP="0009574E">
      <w:pPr>
        <w:spacing w:before="120"/>
        <w:rPr>
          <w:bCs/>
        </w:rPr>
      </w:pPr>
      <w:r w:rsidRPr="003B11A6">
        <w:t>Latvija</w:t>
      </w:r>
      <w:r w:rsidRPr="003B11A6">
        <w:rPr>
          <w:bCs/>
        </w:rPr>
        <w:t xml:space="preserve"> atbalsta nepieciešamību tūlītēji novērst tiešu kaitējumu uzņēmumiem un vidējā termiņā un ilgtermiņā aizsargāt tiešsaistes platformu vienotā tirgus potenciālu, uzlabojot komerciālo lietotāju uzticību un veicot pārdomātus politisku pasākumus attiecīgajā līmenī. </w:t>
      </w:r>
    </w:p>
    <w:p w14:paraId="0E33B1B2" w14:textId="77777777" w:rsidR="00C64447" w:rsidRPr="003B11A6" w:rsidRDefault="00C64447" w:rsidP="0009574E">
      <w:pPr>
        <w:spacing w:before="120"/>
        <w:rPr>
          <w:bCs/>
        </w:rPr>
      </w:pPr>
      <w:r w:rsidRPr="003B11A6">
        <w:rPr>
          <w:bCs/>
        </w:rPr>
        <w:t xml:space="preserve">Latvija uzskata, ka ir svarīgi skaidri atrunāt nosacījumus un kārtību, kādā platformas var apturēt vai izbeigt savu pakalpojumu sniegšanu konkrētiem komerciāliem lietotājiem, par ranžēšanas kritērijiem, jebkādu atšķirīgo attieksmi, komerciālo lietotāju darbības ierobežošanu. </w:t>
      </w:r>
      <w:r w:rsidR="00072DD8" w:rsidRPr="003B11A6">
        <w:rPr>
          <w:bCs/>
        </w:rPr>
        <w:t xml:space="preserve">Lielākas </w:t>
      </w:r>
      <w:r w:rsidR="00357CBB" w:rsidRPr="003B11A6">
        <w:rPr>
          <w:bCs/>
        </w:rPr>
        <w:t xml:space="preserve">caurssatāmības </w:t>
      </w:r>
      <w:r w:rsidR="00072DD8" w:rsidRPr="003B11A6">
        <w:rPr>
          <w:bCs/>
        </w:rPr>
        <w:t xml:space="preserve">veicināšana platformu darbībā dotu lielāku skaidrību ekonomikas dalībnieku vidū un dotu kopēju ieguvumu ES kopumā.  </w:t>
      </w:r>
    </w:p>
    <w:p w14:paraId="323BD4B9" w14:textId="77777777" w:rsidR="00C64447" w:rsidRPr="003B11A6" w:rsidRDefault="00C64447" w:rsidP="00C64447">
      <w:pPr>
        <w:pStyle w:val="ListParagraph"/>
        <w:spacing w:after="0"/>
        <w:ind w:left="0"/>
        <w:contextualSpacing w:val="0"/>
        <w:rPr>
          <w:bCs/>
        </w:rPr>
      </w:pPr>
    </w:p>
    <w:p w14:paraId="3C5C855D" w14:textId="77777777" w:rsidR="009F042F" w:rsidRPr="003B11A6" w:rsidRDefault="009F042F" w:rsidP="003F03EB">
      <w:pPr>
        <w:pStyle w:val="DashEqual1"/>
        <w:numPr>
          <w:ilvl w:val="0"/>
          <w:numId w:val="4"/>
        </w:numPr>
        <w:ind w:left="567" w:hanging="567"/>
        <w:rPr>
          <w:b/>
          <w:lang w:val="lv-LV"/>
        </w:rPr>
      </w:pPr>
      <w:r w:rsidRPr="003B11A6">
        <w:rPr>
          <w:b/>
          <w:lang w:val="lv-LV"/>
        </w:rPr>
        <w:t xml:space="preserve">Pusdienu diskusija – mākslīgais intelekts </w:t>
      </w:r>
    </w:p>
    <w:p w14:paraId="4475178D" w14:textId="77777777" w:rsidR="009F042F" w:rsidRPr="003B11A6" w:rsidRDefault="009F042F" w:rsidP="0009574E">
      <w:pPr>
        <w:pStyle w:val="DashEqual1"/>
        <w:numPr>
          <w:ilvl w:val="0"/>
          <w:numId w:val="0"/>
        </w:numPr>
        <w:ind w:left="567"/>
        <w:rPr>
          <w:i/>
          <w:lang w:val="lv-LV"/>
        </w:rPr>
      </w:pPr>
      <w:r w:rsidRPr="003B11A6">
        <w:rPr>
          <w:i/>
          <w:lang w:val="lv-LV"/>
        </w:rPr>
        <w:t>= Viedokļu apmaiņa</w:t>
      </w:r>
    </w:p>
    <w:p w14:paraId="5B156319" w14:textId="56FBD179" w:rsidR="00C81D94" w:rsidRPr="003B11A6" w:rsidRDefault="0009574E" w:rsidP="0009574E">
      <w:pPr>
        <w:spacing w:before="120"/>
      </w:pPr>
      <w:r w:rsidRPr="003B11A6">
        <w:t>Ministr</w:t>
      </w:r>
      <w:r w:rsidR="0050237F">
        <w:t>u</w:t>
      </w:r>
      <w:r w:rsidRPr="003B11A6">
        <w:t xml:space="preserve"> darba pu</w:t>
      </w:r>
      <w:r w:rsidR="00C81D94" w:rsidRPr="003B11A6">
        <w:t xml:space="preserve">sdienās ir paredzēta diskusija </w:t>
      </w:r>
      <w:r w:rsidR="009F042F" w:rsidRPr="003B11A6">
        <w:t xml:space="preserve">par mākslīgo intelektu </w:t>
      </w:r>
      <w:r w:rsidR="00C81D94" w:rsidRPr="003B11A6">
        <w:t>ar</w:t>
      </w:r>
      <w:r w:rsidR="009F042F" w:rsidRPr="003B11A6">
        <w:t xml:space="preserve"> </w:t>
      </w:r>
      <w:r w:rsidRPr="003B11A6">
        <w:t xml:space="preserve">EK </w:t>
      </w:r>
      <w:r w:rsidR="009F042F" w:rsidRPr="003B11A6">
        <w:t xml:space="preserve">viceprezidenta </w:t>
      </w:r>
      <w:r w:rsidR="009F042F" w:rsidRPr="003B11A6">
        <w:rPr>
          <w:bCs/>
        </w:rPr>
        <w:t>Andrusa</w:t>
      </w:r>
      <w:r w:rsidR="009F042F" w:rsidRPr="003B11A6">
        <w:t xml:space="preserve"> Ansipa piedalīšanos.</w:t>
      </w:r>
    </w:p>
    <w:p w14:paraId="5E879EFB" w14:textId="77777777" w:rsidR="009F042F" w:rsidRPr="003B11A6" w:rsidRDefault="009F042F" w:rsidP="0009574E">
      <w:pPr>
        <w:spacing w:before="120"/>
      </w:pPr>
      <w:r w:rsidRPr="003B11A6">
        <w:t xml:space="preserve">Mākslīgā intelekta joma ir ieguvusi būtisku un stratēģisku nozīmi ekonomikas attīstībā. Šīs tehnoloģijas </w:t>
      </w:r>
      <w:r w:rsidRPr="003B11A6">
        <w:rPr>
          <w:bCs/>
        </w:rPr>
        <w:t>var</w:t>
      </w:r>
      <w:r w:rsidRPr="003B11A6">
        <w:t xml:space="preserve"> sniegt nozīmīgu ieguldījumu, lai uzlabotu cilvēku dzīvi, piemēram, uzlabojot veselības aprūpi; nodrošinot efektīvāku valsts pārvaldi; izgudrojot drošākus un viedākus transportlīdzekļus; vairojot rūpniecības un lauksaimniecības konkurētspēju. </w:t>
      </w:r>
    </w:p>
    <w:p w14:paraId="13EAE86A" w14:textId="77777777" w:rsidR="0009574E" w:rsidRPr="003B11A6" w:rsidRDefault="009F042F" w:rsidP="0009574E">
      <w:pPr>
        <w:spacing w:before="120"/>
      </w:pPr>
      <w:r w:rsidRPr="003B11A6">
        <w:t xml:space="preserve">Š.g. 25. aprīlī EK publicēja </w:t>
      </w:r>
      <w:r w:rsidR="0009574E" w:rsidRPr="003B11A6">
        <w:t>p</w:t>
      </w:r>
      <w:r w:rsidRPr="003B11A6">
        <w:t xml:space="preserve">aziņojumu par Eiropas pieeju mākslīga intelekta un robotikas </w:t>
      </w:r>
      <w:r w:rsidRPr="003B11A6">
        <w:rPr>
          <w:bCs/>
        </w:rPr>
        <w:t>jautājumiem</w:t>
      </w:r>
      <w:r w:rsidRPr="003B11A6">
        <w:t>. Tas balstās uz trim pīlāriem:</w:t>
      </w:r>
    </w:p>
    <w:p w14:paraId="35E2ED32" w14:textId="77777777" w:rsidR="0009574E" w:rsidRPr="003B11A6" w:rsidRDefault="009F042F" w:rsidP="00294CE6">
      <w:pPr>
        <w:contextualSpacing/>
        <w:rPr>
          <w:rFonts w:eastAsia="Calibri"/>
          <w:noProof/>
        </w:rPr>
      </w:pPr>
      <w:r w:rsidRPr="003B11A6">
        <w:rPr>
          <w:rFonts w:eastAsia="Calibri"/>
          <w:noProof/>
        </w:rPr>
        <w:t>1) ES pētniecības un rūpniecības jaudas stiprināšana;</w:t>
      </w:r>
    </w:p>
    <w:p w14:paraId="5DB263F7" w14:textId="77777777" w:rsidR="0009574E" w:rsidRPr="003B11A6" w:rsidRDefault="009F042F" w:rsidP="00294CE6">
      <w:pPr>
        <w:contextualSpacing/>
        <w:rPr>
          <w:rFonts w:eastAsia="Calibri"/>
          <w:noProof/>
        </w:rPr>
      </w:pPr>
      <w:r w:rsidRPr="003B11A6">
        <w:rPr>
          <w:rFonts w:eastAsia="Calibri"/>
          <w:noProof/>
        </w:rPr>
        <w:t>2) gatavošanās sociālekonomiskajām pārmaiņām;</w:t>
      </w:r>
    </w:p>
    <w:p w14:paraId="1FB1DB8A" w14:textId="77777777" w:rsidR="0009574E" w:rsidRPr="003B11A6" w:rsidRDefault="009F042F" w:rsidP="0009574E">
      <w:pPr>
        <w:spacing w:before="120"/>
        <w:rPr>
          <w:rFonts w:eastAsia="Calibri"/>
          <w:noProof/>
        </w:rPr>
      </w:pPr>
      <w:r w:rsidRPr="003B11A6">
        <w:rPr>
          <w:rFonts w:eastAsia="Calibri"/>
          <w:noProof/>
        </w:rPr>
        <w:t>3) pieņemama ētiskā un juridiskā ietvara nodrošināšana.</w:t>
      </w:r>
    </w:p>
    <w:p w14:paraId="05400AB0" w14:textId="77777777" w:rsidR="009F042F" w:rsidRPr="003B11A6" w:rsidRDefault="009F042F" w:rsidP="0009574E">
      <w:pPr>
        <w:spacing w:before="120"/>
      </w:pPr>
      <w:r w:rsidRPr="003B11A6">
        <w:t>ES mērķis ir iegūt vadošo lomu, lai uz mākslīgo intelektu balstītās tehnoloģijas nodrošinātu konkurētspēju un veidotu priekšnoteikumus tālākajai attīstībai. EK ir apņēmusies atbalstīt dažādus mākslīgā intelekta projektus – no veselības līdz transportam, kā arī rūpniecības digitalizāciju. Lai attīstītu mākslīgā intelekta tehnoloģijas, EK ierosina palielināt programmas “Apvārsnis 2020” finansējumu un izmantot Eiropas Stratēģisko investīciju fonda finansējumu. EK paziņojumā uzmanība pievērsta arī prasmju jautājumam - ņemot vērā, ka līdz ar mākslīgā intelekta tehnoloģiju biežāku izmantošanu ikdienā  varētu izveidoties jaunas darba vietas, tomēr citas varētu pazust vai tikt pārveidotas, EK aicina dalībvalstis atbilstoši modernizēt izglītības un apmācību sistēmu.</w:t>
      </w:r>
    </w:p>
    <w:p w14:paraId="04E6B558" w14:textId="77777777" w:rsidR="009F042F" w:rsidRPr="003B11A6" w:rsidRDefault="009F042F" w:rsidP="0009574E">
      <w:pPr>
        <w:spacing w:before="120"/>
        <w:rPr>
          <w:rFonts w:eastAsia="Calibri"/>
          <w:noProof/>
          <w:lang w:eastAsia="en-US"/>
        </w:rPr>
      </w:pPr>
      <w:r w:rsidRPr="003B11A6">
        <w:rPr>
          <w:rFonts w:eastAsia="Calibri"/>
          <w:noProof/>
          <w:lang w:eastAsia="en-US"/>
        </w:rPr>
        <w:t xml:space="preserve">2018.gada beigās EK plāno uzsākt darbu pie mākslīgā intelekta plāna izstrādāšanas, kura galvenais </w:t>
      </w:r>
      <w:r w:rsidRPr="003B11A6">
        <w:rPr>
          <w:bCs/>
        </w:rPr>
        <w:t>mērķis</w:t>
      </w:r>
      <w:r w:rsidRPr="003B11A6">
        <w:rPr>
          <w:rFonts w:eastAsia="Calibri"/>
          <w:noProof/>
          <w:lang w:eastAsia="en-US"/>
        </w:rPr>
        <w:t xml:space="preserve"> būtu palielināt investīciju ietekmi gan ES, gan nacionālā līmenī, veicinot pārrobežu sadarbību un pieredzes apmaiņu, definējot tālākos kopīgos darbības virzienus.</w:t>
      </w:r>
    </w:p>
    <w:p w14:paraId="21C79550" w14:textId="77777777" w:rsidR="0009574E" w:rsidRPr="003B11A6" w:rsidRDefault="0009574E" w:rsidP="0009574E">
      <w:pPr>
        <w:spacing w:before="120"/>
        <w:rPr>
          <w:rFonts w:eastAsia="Calibri"/>
          <w:b/>
          <w:noProof/>
          <w:u w:val="single"/>
          <w:lang w:eastAsia="en-US"/>
        </w:rPr>
      </w:pPr>
      <w:r w:rsidRPr="003B11A6">
        <w:rPr>
          <w:rFonts w:eastAsia="Calibri"/>
          <w:b/>
          <w:noProof/>
          <w:u w:val="single"/>
          <w:lang w:eastAsia="en-US"/>
        </w:rPr>
        <w:t>Latvijas nostāja:</w:t>
      </w:r>
    </w:p>
    <w:p w14:paraId="00B7D537" w14:textId="159FF9E2" w:rsidR="006C4E42" w:rsidRPr="003B11A6" w:rsidRDefault="006C4E42" w:rsidP="003B11A6">
      <w:pPr>
        <w:autoSpaceDE w:val="0"/>
        <w:autoSpaceDN w:val="0"/>
        <w:adjustRightInd w:val="0"/>
        <w:spacing w:after="0"/>
        <w:rPr>
          <w:rFonts w:eastAsia="Calibri"/>
          <w:noProof/>
          <w:lang w:eastAsia="en-US"/>
        </w:rPr>
      </w:pPr>
      <w:r w:rsidRPr="003B11A6">
        <w:rPr>
          <w:rFonts w:eastAsia="Calibri"/>
          <w:noProof/>
          <w:lang w:eastAsia="en-US"/>
        </w:rPr>
        <w:lastRenderedPageBreak/>
        <w:t xml:space="preserve">Kopumā atbalstām paziņojumā ietvertos plānotos pasākumus investīciju palielināšanai, pasākumus uzņēmējdarbības un izglītības partnerību veidošanā, digitālo prasmju, kompetenču zinātnē, tehnoloģijās, inženierzinātnēs un matemātikā (STEM) attīstīšanu, uzņēmējdarbības un radošuma attīstīšanā un </w:t>
      </w:r>
      <w:r w:rsidR="0050237F" w:rsidRPr="003B11A6">
        <w:t>mākslīg</w:t>
      </w:r>
      <w:r w:rsidR="0050237F">
        <w:t>ā</w:t>
      </w:r>
      <w:r w:rsidR="0050237F" w:rsidRPr="003B11A6">
        <w:t xml:space="preserve"> </w:t>
      </w:r>
      <w:r w:rsidR="0050237F">
        <w:rPr>
          <w:rFonts w:eastAsia="Calibri"/>
          <w:noProof/>
          <w:lang w:eastAsia="en-US"/>
        </w:rPr>
        <w:t>intelekta</w:t>
      </w:r>
      <w:r w:rsidR="0050237F" w:rsidRPr="003B11A6">
        <w:rPr>
          <w:rFonts w:eastAsia="Calibri"/>
          <w:noProof/>
          <w:lang w:eastAsia="en-US"/>
        </w:rPr>
        <w:t xml:space="preserve"> </w:t>
      </w:r>
      <w:r w:rsidRPr="003B11A6">
        <w:rPr>
          <w:rFonts w:eastAsia="Calibri"/>
          <w:noProof/>
          <w:lang w:eastAsia="en-US"/>
        </w:rPr>
        <w:t>ētikas vadlīniju izstrādē.</w:t>
      </w:r>
    </w:p>
    <w:p w14:paraId="3F4B38DF" w14:textId="254B4161" w:rsidR="006C4E42" w:rsidRPr="003B11A6" w:rsidRDefault="006C4E42" w:rsidP="003B11A6">
      <w:pPr>
        <w:spacing w:before="120"/>
        <w:rPr>
          <w:rFonts w:eastAsia="Calibri"/>
          <w:noProof/>
          <w:lang w:eastAsia="en-US"/>
        </w:rPr>
      </w:pPr>
      <w:r w:rsidRPr="003B11A6">
        <w:rPr>
          <w:rFonts w:eastAsia="Calibri"/>
          <w:noProof/>
          <w:lang w:eastAsia="en-US"/>
        </w:rPr>
        <w:t xml:space="preserve">Ar paziņojumu redzam labu tendenci tam, ka EK plāno veltīt apjomīgus resursus </w:t>
      </w:r>
      <w:r w:rsidR="0050237F" w:rsidRPr="003B11A6">
        <w:t>mākslīg</w:t>
      </w:r>
      <w:r w:rsidR="0050237F">
        <w:t xml:space="preserve">ā intelekta </w:t>
      </w:r>
      <w:r w:rsidRPr="003B11A6">
        <w:rPr>
          <w:rFonts w:eastAsia="Calibri"/>
          <w:noProof/>
          <w:lang w:eastAsia="en-US"/>
        </w:rPr>
        <w:t>tehnoloģijas iespēju izmantošanas veicināšanai, kas ir laba indikācija Digitālā vienotā tirgus attīstībai. .</w:t>
      </w:r>
    </w:p>
    <w:p w14:paraId="43D188BC" w14:textId="77777777" w:rsidR="006C4E42" w:rsidRPr="003B11A6" w:rsidRDefault="006C4E42" w:rsidP="006C4E42">
      <w:pPr>
        <w:spacing w:before="120"/>
        <w:rPr>
          <w:bCs/>
        </w:rPr>
      </w:pPr>
      <w:r w:rsidRPr="003B11A6">
        <w:t xml:space="preserve">Mākslīgā intelekta tehnoloģijas kļūst par vienu no galvenajiem līdzekļiem, ar kuriem uzņēmumi visā pasaulē uzlabo klientu apkalpošanu, piedāvā individualizētus pakalpojumus un ceļ darba efektivitāti. Latvijā arvien vairāk tiek izmantotas virtuālo asistentu un čatbota tehnoloģijas. Tā kā boti izmanto mākslīgā intelekta tehnoloģijas un atpazīst gan balsi, gan rakstītu tekstu, saredzam potenciālu izmantošanai arī mācību procesā. Tāpat ir virkne uzņēmumi, kuri attīsta rīkus, kas balstīti uz datorredzes tehnoloģijām. Šīm </w:t>
      </w:r>
      <w:r w:rsidRPr="003B11A6">
        <w:rPr>
          <w:bCs/>
        </w:rPr>
        <w:t>tehnoloģijām ir milzu potenciāls izmantošanai valsts un pašvaldību pakalpojumu sniegšanā.</w:t>
      </w:r>
    </w:p>
    <w:p w14:paraId="5BC84765" w14:textId="6386F2D6" w:rsidR="0050237F" w:rsidRDefault="006C4E42" w:rsidP="006C4E42">
      <w:pPr>
        <w:spacing w:before="120"/>
      </w:pPr>
      <w:r w:rsidRPr="003B11A6">
        <w:t>Latvijā</w:t>
      </w:r>
      <w:r w:rsidR="00A8117F">
        <w:t xml:space="preserve"> uzņēmumi </w:t>
      </w:r>
      <w:r w:rsidRPr="003B11A6">
        <w:t>jau šobrīd intensīvi</w:t>
      </w:r>
      <w:r w:rsidR="0050237F">
        <w:t xml:space="preserve"> </w:t>
      </w:r>
      <w:r w:rsidRPr="003B11A6">
        <w:t xml:space="preserve">izmanto mākslīgā intelekta tehnoloģiju, </w:t>
      </w:r>
      <w:r w:rsidRPr="003B11A6">
        <w:rPr>
          <w:bCs/>
        </w:rPr>
        <w:t>t.sk.,</w:t>
      </w:r>
      <w:r w:rsidRPr="003B11A6">
        <w:rPr>
          <w:b/>
          <w:bCs/>
        </w:rPr>
        <w:t xml:space="preserve"> </w:t>
      </w:r>
      <w:r w:rsidRPr="003B11A6">
        <w:t>Tilde, Lattelecom, Apply IT, ABC Software u.c. Piemēram, Tilde ir uzkrājusi plašu pieredzi, izstrādājot gan vispārīgus, gan specializētus virtuālos asistentus, kurus darbina mākslīgā intelekta un dabīgās valodas tehnoloģijas. Tildes virtuālie asistenti piedāvā jaunus mijiedarbības veidus klientu apkalpošanas, izglītības un sociālo mediju jomā. Lattelecom darbu sācis pirmais uzņēmuma klientu atbalsta robots Anete, kas ar sabiedrības līdzdalību un sarunām mācās virtuāli sniegt palīdzību latviešu valodā. Latvijas informāciju tehnoloģiju uzņēmums Apply izstrādā datorredzes tehnoloģijas (mākslīgā intelekta virziens, kurā robotiem tiek iemācīts kaut ko saredzēt un rīkoties atbilstoši ieraudzītajam), kas pielietojamas dažādās jomās – sākot no mikrobioloģijas un beidzot ar mediju vidi un ir pārliecināti, ka tuvāko gadu laikā uzņēmuma galvenā darbības nozare būs tieši datorredze.</w:t>
      </w:r>
    </w:p>
    <w:p w14:paraId="47B3790A" w14:textId="7F13907C" w:rsidR="0050237F" w:rsidRDefault="00294CE6" w:rsidP="006C4E42">
      <w:pPr>
        <w:spacing w:before="120"/>
        <w:rPr>
          <w:bCs/>
        </w:rPr>
      </w:pPr>
      <w:r>
        <w:t>Arī</w:t>
      </w:r>
      <w:r w:rsidR="0050237F">
        <w:t xml:space="preserve"> publiskais sektors Latvijā aizvien plašāk izmanto mākslīgā intelekta tehnoloģiju savos publiskajos pakalpojumos. </w:t>
      </w:r>
      <w:r w:rsidR="0050237F" w:rsidRPr="003B11A6">
        <w:t>Latvijas</w:t>
      </w:r>
      <w:r w:rsidR="0050237F" w:rsidRPr="003B11A6">
        <w:rPr>
          <w:bCs/>
        </w:rPr>
        <w:t xml:space="preserve"> </w:t>
      </w:r>
      <w:r w:rsidR="006C4E42" w:rsidRPr="003B11A6">
        <w:t xml:space="preserve">Uzņēmumu reģistrs sadarbībā ar </w:t>
      </w:r>
      <w:r w:rsidR="006C4E42" w:rsidRPr="003B11A6">
        <w:rPr>
          <w:bCs/>
        </w:rPr>
        <w:t>uzņēmumu Tilde izstrādā pirmo mākslīgā intelekta risinājum</w:t>
      </w:r>
      <w:r w:rsidR="0050237F">
        <w:rPr>
          <w:bCs/>
        </w:rPr>
        <w:t>u</w:t>
      </w:r>
      <w:r w:rsidR="006C4E42" w:rsidRPr="003B11A6">
        <w:rPr>
          <w:bCs/>
        </w:rPr>
        <w:t xml:space="preserve"> – robotu, kas ļaus rakstiski komunicēt ar klientiem iestādes mājaslapā. Kultūras in</w:t>
      </w:r>
      <w:r w:rsidR="00A8117F">
        <w:rPr>
          <w:bCs/>
        </w:rPr>
        <w:t>formācijas sistēmu centrs</w:t>
      </w:r>
      <w:r w:rsidR="006C4E42" w:rsidRPr="003B11A6">
        <w:rPr>
          <w:bCs/>
        </w:rPr>
        <w:t xml:space="preserve"> sadarbībā ar uzņēmumu</w:t>
      </w:r>
      <w:r w:rsidR="0050237F">
        <w:rPr>
          <w:bCs/>
        </w:rPr>
        <w:t xml:space="preserve"> </w:t>
      </w:r>
      <w:r w:rsidR="006C4E42" w:rsidRPr="003B11A6">
        <w:rPr>
          <w:bCs/>
        </w:rPr>
        <w:t>Tilde</w:t>
      </w:r>
      <w:r w:rsidR="0050237F">
        <w:rPr>
          <w:bCs/>
        </w:rPr>
        <w:t xml:space="preserve"> </w:t>
      </w:r>
      <w:r w:rsidR="006C4E42" w:rsidRPr="003B11A6">
        <w:rPr>
          <w:bCs/>
        </w:rPr>
        <w:t>pilnveido valsts pārvaldes mašīntulkošanas platformu</w:t>
      </w:r>
      <w:r w:rsidR="0050237F">
        <w:rPr>
          <w:bCs/>
        </w:rPr>
        <w:t xml:space="preserve"> </w:t>
      </w:r>
      <w:hyperlink r:id="rId24" w:tgtFrame="_blank" w:history="1">
        <w:r w:rsidR="006C4E42" w:rsidRPr="003B11A6">
          <w:rPr>
            <w:rStyle w:val="Hyperlink"/>
            <w:bCs/>
          </w:rPr>
          <w:t>Hugo.lv</w:t>
        </w:r>
      </w:hyperlink>
      <w:r w:rsidR="006C4E42" w:rsidRPr="003B11A6">
        <w:rPr>
          <w:bCs/>
        </w:rPr>
        <w:t>, lai platforma varētu izmantot jaunākos sasniegumus valodas tehnoloģijās – jaunas mašīntulkošanas sistēmas, terminoloģijas pārvaldības vietni un runas atpazīšanas rīkus. Valsts ieņēmumu dienesta Elektroniskās deklarēšanas sistēma izmanto lēmumu pieņemšanas automatizēšanas elementus automātiski pārbaudot iesniegtās deklarācijas. Tas ļauj apstiprināt līdz 2/3 iesnieg</w:t>
      </w:r>
      <w:r w:rsidR="0050237F">
        <w:rPr>
          <w:bCs/>
        </w:rPr>
        <w:t>t</w:t>
      </w:r>
      <w:r w:rsidR="006C4E42" w:rsidRPr="003B11A6">
        <w:rPr>
          <w:bCs/>
        </w:rPr>
        <w:t>o deklarāciju, kurās netiek atklātas neatbilstības un tādejādi ļauj ekspertiem veltīt laiku tikai tādu deklarāciju pārbaudei, kurās atklātas neatbilstības.</w:t>
      </w:r>
    </w:p>
    <w:p w14:paraId="58775BA1" w14:textId="4B376207" w:rsidR="006C4E42" w:rsidRPr="003B11A6" w:rsidRDefault="006C4E42" w:rsidP="006C4E42">
      <w:pPr>
        <w:spacing w:before="120"/>
      </w:pPr>
      <w:r w:rsidRPr="003B11A6">
        <w:rPr>
          <w:bCs/>
        </w:rPr>
        <w:t>2017.gada septembrī Latvijā sadarbībā ar Latvijas Universitāti tika atklāts pirmais Microsoft Inovāciju centrs Baltijā un Ziemeļeiropā. Viens no centra darbības virzieniem ir vērsts arī uz mākslīgā intelekta risinājumiem.</w:t>
      </w:r>
    </w:p>
    <w:p w14:paraId="76030654" w14:textId="77777777" w:rsidR="0009574E" w:rsidRPr="003B11A6" w:rsidRDefault="0009574E" w:rsidP="0009574E">
      <w:pPr>
        <w:spacing w:after="0"/>
        <w:ind w:firstLine="0"/>
        <w:rPr>
          <w:b/>
        </w:rPr>
      </w:pPr>
    </w:p>
    <w:p w14:paraId="6D16B25C" w14:textId="77777777" w:rsidR="00166BA6" w:rsidRPr="003B11A6" w:rsidRDefault="00166BA6" w:rsidP="003F03EB">
      <w:pPr>
        <w:pStyle w:val="DashEqual1"/>
        <w:numPr>
          <w:ilvl w:val="0"/>
          <w:numId w:val="4"/>
        </w:numPr>
        <w:ind w:left="567" w:hanging="567"/>
        <w:rPr>
          <w:b/>
          <w:lang w:val="lv-LV"/>
        </w:rPr>
      </w:pPr>
      <w:r w:rsidRPr="003B11A6">
        <w:rPr>
          <w:b/>
          <w:lang w:val="lv-LV"/>
        </w:rPr>
        <w:t>Citi jautājumi:</w:t>
      </w:r>
    </w:p>
    <w:p w14:paraId="1AC5585A" w14:textId="77777777" w:rsidR="00166BA6" w:rsidRPr="003B11A6" w:rsidRDefault="00166BA6" w:rsidP="003F03EB">
      <w:pPr>
        <w:pStyle w:val="ListParagraph"/>
        <w:numPr>
          <w:ilvl w:val="1"/>
          <w:numId w:val="4"/>
        </w:numPr>
        <w:spacing w:after="200" w:line="276" w:lineRule="auto"/>
        <w:ind w:left="851" w:hanging="283"/>
        <w:rPr>
          <w:b/>
        </w:rPr>
      </w:pPr>
      <w:r w:rsidRPr="003B11A6">
        <w:rPr>
          <w:b/>
        </w:rPr>
        <w:t>Aktuālie likumdošanas faili:</w:t>
      </w:r>
    </w:p>
    <w:p w14:paraId="1FDB41F3" w14:textId="77777777" w:rsidR="00166BA6" w:rsidRPr="003B11A6" w:rsidRDefault="00337E42" w:rsidP="003F03EB">
      <w:pPr>
        <w:pStyle w:val="DashEqual1"/>
        <w:keepNext/>
        <w:keepLines/>
        <w:numPr>
          <w:ilvl w:val="2"/>
          <w:numId w:val="4"/>
        </w:numPr>
        <w:ind w:left="1276" w:hanging="371"/>
        <w:rPr>
          <w:b/>
          <w:lang w:val="lv-LV"/>
        </w:rPr>
      </w:pPr>
      <w:r w:rsidRPr="003B11A6">
        <w:rPr>
          <w:b/>
          <w:lang w:val="lv-LV"/>
        </w:rPr>
        <w:lastRenderedPageBreak/>
        <w:t>J</w:t>
      </w:r>
      <w:r w:rsidR="00166BA6" w:rsidRPr="003B11A6">
        <w:rPr>
          <w:b/>
          <w:lang w:val="lv-LV"/>
        </w:rPr>
        <w:t>a</w:t>
      </w:r>
      <w:r w:rsidRPr="003B11A6">
        <w:rPr>
          <w:b/>
          <w:lang w:val="lv-LV"/>
        </w:rPr>
        <w:t>u</w:t>
      </w:r>
      <w:r w:rsidR="00166BA6" w:rsidRPr="003B11A6">
        <w:rPr>
          <w:b/>
          <w:lang w:val="lv-LV"/>
        </w:rPr>
        <w:t xml:space="preserve">nākās iniciatīvas Digitālā vienotā tirgus izveidē </w:t>
      </w:r>
      <w:r w:rsidR="00166BA6" w:rsidRPr="003B11A6">
        <w:rPr>
          <w:lang w:val="lv-LV"/>
        </w:rPr>
        <w:t>(Vides aizsardzības un reģionālās attīstības ministrijas jautājums)</w:t>
      </w:r>
    </w:p>
    <w:p w14:paraId="397DC52B" w14:textId="77777777" w:rsidR="00166BA6" w:rsidRPr="003B11A6" w:rsidRDefault="00166BA6" w:rsidP="0050237F">
      <w:pPr>
        <w:pStyle w:val="DashEqual1"/>
        <w:keepNext/>
        <w:keepLines/>
        <w:numPr>
          <w:ilvl w:val="0"/>
          <w:numId w:val="0"/>
        </w:numPr>
        <w:ind w:left="1021"/>
        <w:rPr>
          <w:i/>
          <w:lang w:val="lv-LV"/>
        </w:rPr>
      </w:pPr>
      <w:r w:rsidRPr="003B11A6">
        <w:rPr>
          <w:i/>
          <w:lang w:val="lv-LV"/>
        </w:rPr>
        <w:t>= EK sniegta informācija</w:t>
      </w:r>
    </w:p>
    <w:p w14:paraId="094FF78D" w14:textId="77777777" w:rsidR="0050237F" w:rsidRDefault="00166BA6" w:rsidP="00C31F0B">
      <w:pPr>
        <w:spacing w:before="120"/>
        <w:rPr>
          <w:rFonts w:eastAsia="SimSun"/>
          <w:lang w:eastAsia="ar-SA"/>
        </w:rPr>
      </w:pPr>
      <w:r w:rsidRPr="003B11A6">
        <w:t>EK 2017. gada</w:t>
      </w:r>
      <w:r w:rsidRPr="003B11A6">
        <w:rPr>
          <w:rFonts w:eastAsia="SimSun"/>
          <w:lang w:eastAsia="ar-SA"/>
        </w:rPr>
        <w:t xml:space="preserve"> </w:t>
      </w:r>
      <w:r w:rsidRPr="003B11A6">
        <w:t>10</w:t>
      </w:r>
      <w:r w:rsidRPr="003B11A6">
        <w:rPr>
          <w:rFonts w:eastAsia="SimSun"/>
          <w:lang w:eastAsia="ar-SA"/>
        </w:rPr>
        <w:t xml:space="preserve">. maijā </w:t>
      </w:r>
      <w:r w:rsidRPr="003B11A6">
        <w:t xml:space="preserve">publicēja paziņojumu </w:t>
      </w:r>
      <w:r w:rsidRPr="003B11A6">
        <w:rPr>
          <w:rFonts w:eastAsia="SimSun"/>
          <w:lang w:eastAsia="ar-SA"/>
        </w:rPr>
        <w:t xml:space="preserve">par ES </w:t>
      </w:r>
      <w:r w:rsidRPr="003B11A6">
        <w:rPr>
          <w:rFonts w:eastAsia="SimSun"/>
          <w:color w:val="000000"/>
          <w:lang w:eastAsia="ar-SA"/>
        </w:rPr>
        <w:t>Digitālā vienotā tirgus stratēģijas vidusposma pārskatu</w:t>
      </w:r>
      <w:r w:rsidRPr="003B11A6">
        <w:t>. Pārskatā E</w:t>
      </w:r>
      <w:r w:rsidRPr="003B11A6">
        <w:rPr>
          <w:rFonts w:eastAsia="SimSun"/>
          <w:lang w:eastAsia="ar-SA"/>
        </w:rPr>
        <w:t xml:space="preserve">K norāda </w:t>
      </w:r>
      <w:r w:rsidRPr="003B11A6">
        <w:t xml:space="preserve">uz trim galvenajām jomām, kurās </w:t>
      </w:r>
      <w:r w:rsidRPr="003B11A6">
        <w:rPr>
          <w:rFonts w:eastAsia="SimSun"/>
          <w:lang w:eastAsia="ar-SA"/>
        </w:rPr>
        <w:t>ir vajadzīga aktīvāka ES rīcība:</w:t>
      </w:r>
    </w:p>
    <w:p w14:paraId="1E35D5E4" w14:textId="6847F5DA" w:rsidR="0050237F" w:rsidRDefault="00166BA6" w:rsidP="00C31F0B">
      <w:pPr>
        <w:spacing w:before="120"/>
        <w:contextualSpacing/>
        <w:rPr>
          <w:rFonts w:eastAsia="SimSun"/>
          <w:lang w:eastAsia="ar-SA"/>
        </w:rPr>
      </w:pPr>
      <w:r w:rsidRPr="003B11A6">
        <w:rPr>
          <w:rFonts w:eastAsia="SimSun"/>
          <w:lang w:eastAsia="ar-SA"/>
        </w:rPr>
        <w:t>1) pilnīgi atraisīts Eiropas datu ekonomikas potenciāls,</w:t>
      </w:r>
    </w:p>
    <w:p w14:paraId="546144EF" w14:textId="2BAF9A44" w:rsidR="0050237F" w:rsidRDefault="00166BA6" w:rsidP="00C31F0B">
      <w:pPr>
        <w:spacing w:before="120"/>
        <w:contextualSpacing/>
        <w:rPr>
          <w:rFonts w:eastAsia="SimSun"/>
          <w:lang w:eastAsia="ar-SA"/>
        </w:rPr>
      </w:pPr>
      <w:r w:rsidRPr="003B11A6">
        <w:rPr>
          <w:rFonts w:eastAsia="SimSun"/>
          <w:lang w:eastAsia="ar-SA"/>
        </w:rPr>
        <w:t>2) Eiropas vērtību sargāšana, novēršot kiberdrošības apdraudējumus,</w:t>
      </w:r>
    </w:p>
    <w:p w14:paraId="2901DDD0" w14:textId="0ABDF607" w:rsidR="00166BA6" w:rsidRPr="003B11A6" w:rsidRDefault="00166BA6" w:rsidP="00C31F0B">
      <w:pPr>
        <w:spacing w:before="120"/>
        <w:rPr>
          <w:rFonts w:eastAsia="SimSun"/>
          <w:lang w:eastAsia="ar-SA"/>
        </w:rPr>
      </w:pPr>
      <w:r w:rsidRPr="003B11A6">
        <w:rPr>
          <w:rFonts w:eastAsia="SimSun"/>
          <w:lang w:eastAsia="ar-SA"/>
        </w:rPr>
        <w:t>3) tiešsaistes platformas kā atbildīgas interneta ekosistēmas dalībnieces.</w:t>
      </w:r>
    </w:p>
    <w:p w14:paraId="47A72A36" w14:textId="77777777" w:rsidR="00166BA6" w:rsidRPr="003B11A6" w:rsidRDefault="00166BA6" w:rsidP="00C31F0B">
      <w:pPr>
        <w:spacing w:before="120"/>
      </w:pPr>
      <w:r w:rsidRPr="003B11A6">
        <w:t xml:space="preserve">Digitālā vienotā tirgus īstenošanai turpinās darbs pie vairākiem nozīmīgiem un apjomīgiem tiesību aktu projektiem. Noslēguma fāzē ir sarunas starp Padomi un Eiropas Parlamentu (EP) par apjomīgo Audiovizuālo mediju pakalpojumu direktīvas pārskatu un sagaidāms, ka par priekšlikumu izdosies vienoties Bulgārijas prezidentūrā. Direktīvas mērķis ir pielāgot audiovizuālo pakalpojumu regulējumu pielāgošanu tehnoloģiju radītajām izmaiņām, kā arī izveidot skaidru un efektīvu darbības ietvaru dalībvalstīm un regulētājiestādēm. </w:t>
      </w:r>
    </w:p>
    <w:p w14:paraId="730B358D" w14:textId="77777777" w:rsidR="00166BA6" w:rsidRPr="003B11A6" w:rsidRDefault="00166BA6" w:rsidP="00C31F0B">
      <w:pPr>
        <w:spacing w:before="120"/>
      </w:pPr>
      <w:r w:rsidRPr="003B11A6">
        <w:t xml:space="preserve">Tāpat turpinās sarunas starp Padomi un EP par Eiropas Elektronisko sakaru kodeksa priekšlikumu. Kodeksa mērķis ir radīt priekšnoteikumus ļoti ātrdarbīgu tehnoloģiju, kā, piemēram, mobilās platjoslas tehnoloģijas (5G), savienojamībai visā ES, kas varētu veicināt jaunu uzņēmu un darījumu formu veidošanos, un, attiecīgi, kalpotu kā izaugsmes un konkurētspējas virzītājspēks.   </w:t>
      </w:r>
    </w:p>
    <w:p w14:paraId="10125D8F" w14:textId="77777777" w:rsidR="00166BA6" w:rsidRPr="003B11A6" w:rsidRDefault="00166BA6" w:rsidP="00C31F0B">
      <w:pPr>
        <w:spacing w:before="120"/>
      </w:pPr>
      <w:r w:rsidRPr="003B11A6">
        <w:t xml:space="preserve">Plānota sarunu uzsākšana starp Padomi un EP par priekšlikumu par ietvara izveidi brīvas datu plūsmas nodrošināšanai. Tā mērķis ir nodrošināt nepersonizētu datu brīvu apriti </w:t>
      </w:r>
      <w:r w:rsidR="0009574E" w:rsidRPr="003B11A6">
        <w:t>ES</w:t>
      </w:r>
      <w:r w:rsidRPr="003B11A6">
        <w:t xml:space="preserve">, nosakot normas, kas attiecas uz datu atrašanās vietas prasībām, datu pieejamību atbildīgajām iestādēm un profesionālo lietotāju datu pārvietošanu. </w:t>
      </w:r>
    </w:p>
    <w:p w14:paraId="2B9BE9D4" w14:textId="62A3E55E" w:rsidR="006C4E42" w:rsidRPr="003B11A6" w:rsidRDefault="006C4E42" w:rsidP="006C4E42">
      <w:pPr>
        <w:shd w:val="clear" w:color="auto" w:fill="FFFFFF" w:themeFill="background1"/>
        <w:spacing w:before="120"/>
      </w:pPr>
      <w:r w:rsidRPr="003B11A6">
        <w:t>Š.g. janvārī EK nāca klajā ar iniciatīvu, lai izveidotu vadošu Eiropas superdatoru un</w:t>
      </w:r>
      <w:r w:rsidR="0050237F">
        <w:t xml:space="preserve"> </w:t>
      </w:r>
      <w:hyperlink r:id="rId25" w:history="1">
        <w:r w:rsidRPr="003B11A6">
          <w:t>lielo datu</w:t>
        </w:r>
      </w:hyperlink>
      <w:r w:rsidR="005F5217">
        <w:t xml:space="preserve"> </w:t>
      </w:r>
      <w:r w:rsidRPr="003B11A6">
        <w:t>infrastruktūru</w:t>
      </w:r>
      <w:r w:rsidR="00577B0A">
        <w:t xml:space="preserve"> – </w:t>
      </w:r>
      <w:r w:rsidR="00577B0A" w:rsidRPr="00577B0A">
        <w:rPr>
          <w:i/>
        </w:rPr>
        <w:t>EuroHPC</w:t>
      </w:r>
      <w:r w:rsidRPr="003B11A6">
        <w:t xml:space="preserve">. </w:t>
      </w:r>
      <w:r w:rsidR="00577B0A">
        <w:t>J</w:t>
      </w:r>
      <w:r w:rsidR="00577B0A" w:rsidRPr="00577B0A">
        <w:t>auna finansēšanas struktūra</w:t>
      </w:r>
      <w:r w:rsidR="00577B0A">
        <w:t>s</w:t>
      </w:r>
      <w:r w:rsidR="00577B0A" w:rsidRPr="00577B0A">
        <w:t xml:space="preserve"> – </w:t>
      </w:r>
      <w:r w:rsidR="00577B0A">
        <w:t>k</w:t>
      </w:r>
      <w:r w:rsidRPr="003B11A6">
        <w:t>opuzņēmuma</w:t>
      </w:r>
      <w:r w:rsidR="0050237F">
        <w:t xml:space="preserve"> </w:t>
      </w:r>
      <w:r w:rsidRPr="003B11A6">
        <w:rPr>
          <w:i/>
          <w:iCs/>
        </w:rPr>
        <w:t xml:space="preserve">EuroHPC </w:t>
      </w:r>
      <w:r w:rsidRPr="003B11A6">
        <w:t>mērķis ir līdz 2022.–2023. gadam iegādāties sistēmas ar preeksa-pakāpes veiktspēju (simts miljoni miljardu jeb 1017 aprēķini sekundē) un atbalstīt sistēmas ar eksa-pakāpes veiktspēju (miljards miljardu jeb 1018 aprēķini sekundē). EuroHPC</w:t>
      </w:r>
      <w:r w:rsidR="005F5217">
        <w:t xml:space="preserve"> </w:t>
      </w:r>
      <w:r w:rsidRPr="003B11A6">
        <w:t>Eiropā ieviesīs pasaules līmeņa augstas veiktspējas skaitļošanas (HPC) infrastruktūru. Tā arī palīdzēs pētniecības un inovācijas programmā izstrādāt tehnoloģijas un aparatūru (datortehniku), kā arī šo superdatoru lietojumprogrammas (programmatūru).</w:t>
      </w:r>
    </w:p>
    <w:p w14:paraId="17662A4F" w14:textId="1EFD68AF" w:rsidR="006C4E42" w:rsidRPr="003B11A6" w:rsidRDefault="006C4E42" w:rsidP="006C4E42">
      <w:pPr>
        <w:shd w:val="clear" w:color="auto" w:fill="FFFFFF" w:themeFill="background1"/>
        <w:spacing w:before="120"/>
      </w:pPr>
      <w:r w:rsidRPr="003B11A6">
        <w:t>Š.g. janvārī publicētajā Digitālās izglītības rīcības plānā izklāstīts kā ES var palīdzēt cilvēkiem, izglītības iestādēm un izglītības sistēmām labāk pielāgoties dzīvei un darbam ātru digitālo pārmaiņu laikā. Iniciatīvas ietver atbalstu skolām, nodrošinot ātrgaitas platjoslas pieslēgumus, paplašinot jaunu pašnovērtējuma instrumentu</w:t>
      </w:r>
      <w:r w:rsidR="00577B0A">
        <w:t xml:space="preserve"> </w:t>
      </w:r>
      <w:r w:rsidRPr="003B11A6">
        <w:rPr>
          <w:i/>
          <w:iCs/>
        </w:rPr>
        <w:t>SELFIE</w:t>
      </w:r>
      <w:r w:rsidRPr="003B11A6">
        <w:t>, kas palīdzēs skolām labāk izmantot tehnoloģijas mācīšanas un mācīšanās procesā, un sabiedrības informēšanas kampaņu par drošību tiešsaistē, mediju lietotprasmi un kiberhigiēnu.</w:t>
      </w:r>
    </w:p>
    <w:p w14:paraId="54289FDA" w14:textId="46DF6EB1" w:rsidR="00C26CD7" w:rsidRDefault="006C4E42" w:rsidP="006C4E42">
      <w:pPr>
        <w:spacing w:before="120"/>
      </w:pPr>
      <w:r w:rsidRPr="003B11A6">
        <w:t xml:space="preserve">Š.g. 25. aprīlī EK, balstīdamās uz agrākajām iniciatīvām brīvas nepersonizētu datu plūsmas veicināšanai, nāca klajā ar pasākumu kopumu, kura nolūks ir palielināt datu pieejamību </w:t>
      </w:r>
      <w:r w:rsidR="00577B0A">
        <w:t>ES</w:t>
      </w:r>
      <w:r w:rsidRPr="003B11A6">
        <w:t>.</w:t>
      </w:r>
      <w:r w:rsidR="00577B0A">
        <w:t xml:space="preserve"> </w:t>
      </w:r>
      <w:r w:rsidRPr="003B11A6">
        <w:t>To vidū pārskatītais tiesību akts par valsts sektora informācijas atkalizmantošanu attiecas uz datiem, kas publisku uzņēmumu rīcībā ir tādās nozarēs kā transports un komunālie pakalpojumi. Jaunie noteikumi</w:t>
      </w:r>
      <w:r w:rsidR="00C26CD7">
        <w:t>:</w:t>
      </w:r>
    </w:p>
    <w:p w14:paraId="61A0DF21" w14:textId="04A644E9" w:rsidR="00C26CD7" w:rsidRDefault="006C4E42" w:rsidP="003F03EB">
      <w:pPr>
        <w:pStyle w:val="ListParagraph"/>
        <w:numPr>
          <w:ilvl w:val="0"/>
          <w:numId w:val="8"/>
        </w:numPr>
        <w:spacing w:before="120"/>
      </w:pPr>
      <w:r w:rsidRPr="003B11A6">
        <w:lastRenderedPageBreak/>
        <w:t>ierobežo izņēmumus, kas publiskām institūcijām dod iespēju par savu datu atkalizmantošanu pieprasīt samaksu, kura pārsniedz datu izplatīšanas nelielās papildizmaksas.</w:t>
      </w:r>
    </w:p>
    <w:p w14:paraId="6BC34346" w14:textId="79AE527E" w:rsidR="00C26CD7" w:rsidRDefault="006C4E42" w:rsidP="003F03EB">
      <w:pPr>
        <w:pStyle w:val="ListParagraph"/>
        <w:numPr>
          <w:ilvl w:val="0"/>
          <w:numId w:val="8"/>
        </w:numPr>
        <w:spacing w:before="120"/>
      </w:pPr>
      <w:r w:rsidRPr="003B11A6">
        <w:t>atvieglos publiski finansētos atvērtos pētījumos iegūtu datu atkalizmantošanu;</w:t>
      </w:r>
    </w:p>
    <w:p w14:paraId="640BE118" w14:textId="19D4FBBF" w:rsidR="00C26CD7" w:rsidRDefault="006C4E42" w:rsidP="003F03EB">
      <w:pPr>
        <w:pStyle w:val="ListParagraph"/>
        <w:numPr>
          <w:ilvl w:val="0"/>
          <w:numId w:val="8"/>
        </w:numPr>
        <w:spacing w:before="120"/>
      </w:pPr>
      <w:r w:rsidRPr="003B11A6">
        <w:t>paredzēts pienākum</w:t>
      </w:r>
      <w:r w:rsidR="00C26CD7">
        <w:t>u</w:t>
      </w:r>
      <w:r w:rsidRPr="003B11A6">
        <w:t xml:space="preserve"> </w:t>
      </w:r>
      <w:r w:rsidR="00C26CD7" w:rsidRPr="003B11A6">
        <w:t xml:space="preserve">dalībvalstīm </w:t>
      </w:r>
      <w:r w:rsidRPr="003B11A6">
        <w:t>izstrādāt atvērtas piekļuves politiku.</w:t>
      </w:r>
    </w:p>
    <w:p w14:paraId="38D2761C" w14:textId="657A71BD" w:rsidR="006C4E42" w:rsidRPr="003B11A6" w:rsidRDefault="006C4E42" w:rsidP="00C26CD7">
      <w:pPr>
        <w:spacing w:before="120"/>
      </w:pPr>
      <w:r w:rsidRPr="003B11A6">
        <w:t>Visbeidzot, no jaunajiem noteikumiem izriet, ka datiem jātop piekļūstamiem reāllaikā</w:t>
      </w:r>
      <w:r w:rsidR="00C26CD7">
        <w:t xml:space="preserve">, piemēram, </w:t>
      </w:r>
      <w:r w:rsidRPr="003B11A6">
        <w:t>ar tādiem tehniskiem risinājumiem kā lietojumprogrammas saskarnes (API).</w:t>
      </w:r>
    </w:p>
    <w:p w14:paraId="7D09D1BB" w14:textId="6168DD29" w:rsidR="006C4E42" w:rsidRPr="003B11A6" w:rsidRDefault="006C4E42" w:rsidP="006C4E42">
      <w:pPr>
        <w:spacing w:before="120"/>
      </w:pPr>
      <w:r w:rsidRPr="003B11A6">
        <w:t xml:space="preserve">Jauns ieteikumu kopums par zinātnisko datu koplietošanu 2018. gadā atspoguļo politisko un tehnoloģisko attīstību, kas sekojusi pēc </w:t>
      </w:r>
      <w:r w:rsidR="00097AE2">
        <w:t>EK</w:t>
      </w:r>
      <w:r w:rsidR="00097AE2" w:rsidRPr="003B11A6">
        <w:t xml:space="preserve"> </w:t>
      </w:r>
      <w:r w:rsidRPr="003B11A6">
        <w:t>priekšlikuma par zinātniskas informācijas piekļūstamību un saglabāšanu.</w:t>
      </w:r>
    </w:p>
    <w:p w14:paraId="7CBFF0A9" w14:textId="77777777" w:rsidR="006C4E42" w:rsidRPr="003B11A6" w:rsidRDefault="006C4E42" w:rsidP="006C4E42">
      <w:pPr>
        <w:spacing w:before="120"/>
      </w:pPr>
      <w:r w:rsidRPr="003B11A6">
        <w:t>EK paziņojums “Uz kopīgu Eiropas datu telpu” uzņēmumiem, kuri veic darbību ES, dod norādījumus par juridiskajiem un tehniskajiem principiem, kam privātajā sektorā būtu jāreglamentē sadarbība datu koplietošanā. Tas veicinās privātā sektora datu koplietošanu starp uzņēmumiem un starp uzņēmumiem un valsts iestādēm.</w:t>
      </w:r>
    </w:p>
    <w:p w14:paraId="12B8235B" w14:textId="0DD716BD" w:rsidR="00C26CD7" w:rsidRDefault="006C4E42" w:rsidP="006C4E42">
      <w:pPr>
        <w:spacing w:before="120"/>
      </w:pPr>
      <w:r w:rsidRPr="003B11A6">
        <w:t xml:space="preserve">Lai aizsargātu datus par iedzīvotāju veselības aprūpi, vienlaikus veicinot Eiropas sadarbību, EK nāca klajā ar </w:t>
      </w:r>
      <w:r w:rsidR="00C26CD7">
        <w:t>R</w:t>
      </w:r>
      <w:r w:rsidRPr="003B11A6">
        <w:t>īcības plānu, kas saistībā ar iedzīvotāju veselības datiem priekšplānā izvirza iedzīvotājus:</w:t>
      </w:r>
    </w:p>
    <w:p w14:paraId="2AC33B2D" w14:textId="0F8FFE12" w:rsidR="00C26CD7" w:rsidRDefault="006C4E42" w:rsidP="003F03EB">
      <w:pPr>
        <w:pStyle w:val="ListParagraph"/>
        <w:numPr>
          <w:ilvl w:val="0"/>
          <w:numId w:val="9"/>
        </w:numPr>
        <w:spacing w:before="120"/>
      </w:pPr>
      <w:r w:rsidRPr="003B11A6">
        <w:t>nodrošinot, ka veselības dati ir piekļūstami iedzīvotājiem, un paredzot iespēju šos datus koplietot pāri robežām;</w:t>
      </w:r>
    </w:p>
    <w:p w14:paraId="13F0F5BE" w14:textId="2212AEDD" w:rsidR="00C26CD7" w:rsidRDefault="006C4E42" w:rsidP="003F03EB">
      <w:pPr>
        <w:pStyle w:val="ListParagraph"/>
        <w:numPr>
          <w:ilvl w:val="0"/>
          <w:numId w:val="9"/>
        </w:numPr>
        <w:spacing w:before="120"/>
      </w:pPr>
      <w:r w:rsidRPr="003B11A6">
        <w:t>izmantojot lielākus datu kopumus, ar kuriem kļūst iespējama personalizētāka diagnostika un ārstēšana un var labāk paredzēt epidēmijas; un</w:t>
      </w:r>
    </w:p>
    <w:p w14:paraId="6F8E6392" w14:textId="41CB2236" w:rsidR="00C26CD7" w:rsidRDefault="006C4E42" w:rsidP="003F03EB">
      <w:pPr>
        <w:pStyle w:val="ListParagraph"/>
        <w:numPr>
          <w:ilvl w:val="0"/>
          <w:numId w:val="9"/>
        </w:numPr>
        <w:spacing w:before="120"/>
      </w:pPr>
      <w:r w:rsidRPr="003B11A6">
        <w:t>atbalstot attiecīgus digitālus rīkus, kas publiskām iestādēm dod iespēju veselības datus kvalitatīvāk izmantot pētniecībai un veselības sistēmu reformām.</w:t>
      </w:r>
    </w:p>
    <w:p w14:paraId="5E1A63C7" w14:textId="32E130D0" w:rsidR="006C4E42" w:rsidRPr="003B11A6" w:rsidRDefault="006C4E42" w:rsidP="006C4E42">
      <w:pPr>
        <w:spacing w:before="120"/>
      </w:pPr>
      <w:r w:rsidRPr="003B11A6">
        <w:t xml:space="preserve">Ar paziņojumu “Mākslīgais intelekts Eiropai” </w:t>
      </w:r>
      <w:r w:rsidR="00097AE2">
        <w:t>EK</w:t>
      </w:r>
      <w:r w:rsidR="00097AE2" w:rsidRPr="003B11A6">
        <w:t xml:space="preserve"> </w:t>
      </w:r>
      <w:r w:rsidRPr="003B11A6">
        <w:t xml:space="preserve">ierosina trīsdaļīgu pieeju, lai palielinātu publiskās un privātās investīcijas, sagatavotos sociāli ekonomiskajām pārmaiņām un nodrošinātu pienācīgu ētisko un juridisko satvaru. Šī iniciatīva ir tapusi pēc Eiropas līderu pieprasījuma sagatavot pieeju attiecībā uz mākslīgo intelektu. </w:t>
      </w:r>
    </w:p>
    <w:p w14:paraId="3572B03F" w14:textId="77777777" w:rsidR="00166BA6" w:rsidRPr="003B11A6" w:rsidRDefault="00166BA6" w:rsidP="00C31F0B">
      <w:pPr>
        <w:spacing w:before="120"/>
      </w:pPr>
      <w:r w:rsidRPr="003B11A6">
        <w:t>Š.g. 26. aprīlī EK publicēja priekšlikumu regulai par taisnīguma un pārredzamības veicināšana lietotājiem, kas izmanto tiešsaistes starpniecību pakalpojumus, kā  mērķis ir veidot godīgu, pārredzamu un paredzamu uzņēmējdarbības vidi maziem uzņēmējiem, kad tie lieto tiešsaistes platformas.</w:t>
      </w:r>
    </w:p>
    <w:p w14:paraId="0BE02A65" w14:textId="6B1F60D8" w:rsidR="00C31F0B" w:rsidRDefault="006275E7" w:rsidP="00C31F0B">
      <w:pPr>
        <w:spacing w:before="120"/>
      </w:pPr>
      <w:r w:rsidRPr="003B11A6">
        <w:t xml:space="preserve">Š.g. </w:t>
      </w:r>
      <w:r>
        <w:t xml:space="preserve">martā </w:t>
      </w:r>
      <w:r w:rsidR="00097AE2">
        <w:t>EK</w:t>
      </w:r>
      <w:r w:rsidR="00097AE2" w:rsidRPr="003B11A6">
        <w:t xml:space="preserve"> </w:t>
      </w:r>
      <w:r w:rsidR="006C4E42" w:rsidRPr="003B11A6">
        <w:t>ierosināja arī pasākumus, ar kuriem vēršas pret dezinformāciju tiešsaistē, tostarp ES prakses kodeksu dezinformācijas jomā, atbalstu neatkarīgam faktu pārbaudītāju tīklam un virkni darbību, kuru mērķis ir veicināt kvalitatīvu žurnālistiku un sekmēt medijpratību.</w:t>
      </w:r>
    </w:p>
    <w:p w14:paraId="04947AF2" w14:textId="77777777" w:rsidR="006275E7" w:rsidRPr="003B11A6" w:rsidRDefault="006275E7" w:rsidP="00C31F0B">
      <w:pPr>
        <w:spacing w:before="120"/>
      </w:pPr>
    </w:p>
    <w:p w14:paraId="31C71F70" w14:textId="2DD322F3" w:rsidR="00166BA6" w:rsidRPr="00B16C22" w:rsidRDefault="00337E42" w:rsidP="003F03EB">
      <w:pPr>
        <w:pStyle w:val="DashEqual1"/>
        <w:keepNext/>
        <w:keepLines/>
        <w:numPr>
          <w:ilvl w:val="2"/>
          <w:numId w:val="4"/>
        </w:numPr>
        <w:ind w:hanging="513"/>
        <w:rPr>
          <w:b/>
          <w:lang w:val="lv-LV"/>
        </w:rPr>
      </w:pPr>
      <w:r w:rsidRPr="00B16C22">
        <w:rPr>
          <w:b/>
          <w:lang w:val="lv-LV"/>
        </w:rPr>
        <w:t>Autortiesību</w:t>
      </w:r>
      <w:r w:rsidRPr="00CD5A61">
        <w:rPr>
          <w:b/>
          <w:lang w:val="lv-LV"/>
        </w:rPr>
        <w:t xml:space="preserve"> pakotne: Direktīva par autortiesībām Digitālajā vienotajā tirgū un Regula par dažu noteikumu saskaņošanu attiecībā uz autortiesībām un blakustiesībām, kas piemērojamas satelītu apraidei un kabeļu retranslācijai</w:t>
      </w:r>
      <w:r w:rsidR="003C57B3" w:rsidRPr="00CD5A61">
        <w:rPr>
          <w:lang w:val="lv-LV"/>
        </w:rPr>
        <w:t xml:space="preserve"> </w:t>
      </w:r>
      <w:r w:rsidR="003867A7" w:rsidRPr="00CD5A61">
        <w:rPr>
          <w:lang w:val="lv-LV"/>
        </w:rPr>
        <w:t>(Kultūras ministrijas jautājums)</w:t>
      </w:r>
    </w:p>
    <w:p w14:paraId="3F0DCEC0" w14:textId="02879240" w:rsidR="00A512AE" w:rsidRPr="003B11A6" w:rsidRDefault="00A512AE" w:rsidP="006275E7">
      <w:pPr>
        <w:pStyle w:val="DashEqual1"/>
        <w:keepNext/>
        <w:keepLines/>
        <w:numPr>
          <w:ilvl w:val="0"/>
          <w:numId w:val="0"/>
        </w:numPr>
        <w:ind w:left="567"/>
        <w:rPr>
          <w:i/>
          <w:lang w:val="lv-LV"/>
        </w:rPr>
      </w:pPr>
      <w:r w:rsidRPr="003B11A6">
        <w:rPr>
          <w:i/>
          <w:lang w:val="lv-LV"/>
        </w:rPr>
        <w:t xml:space="preserve">= </w:t>
      </w:r>
      <w:r w:rsidR="00857948">
        <w:rPr>
          <w:i/>
          <w:lang w:val="lv-LV"/>
        </w:rPr>
        <w:t>I</w:t>
      </w:r>
      <w:r w:rsidRPr="003B11A6">
        <w:rPr>
          <w:i/>
          <w:lang w:val="lv-LV"/>
        </w:rPr>
        <w:t>nformācija</w:t>
      </w:r>
      <w:r w:rsidR="00857948">
        <w:rPr>
          <w:i/>
          <w:lang w:val="lv-LV"/>
        </w:rPr>
        <w:t xml:space="preserve"> no ES Padomē prezidējošās valsts</w:t>
      </w:r>
    </w:p>
    <w:p w14:paraId="0FC16508" w14:textId="77777777" w:rsidR="006C4E42" w:rsidRPr="003B11A6" w:rsidRDefault="006C4E42" w:rsidP="006C4E42">
      <w:pPr>
        <w:autoSpaceDE w:val="0"/>
        <w:autoSpaceDN w:val="0"/>
        <w:adjustRightInd w:val="0"/>
        <w:spacing w:before="120"/>
      </w:pPr>
      <w:r w:rsidRPr="003B11A6">
        <w:rPr>
          <w:rFonts w:ascii="TimesNewRoman" w:hAnsi="TimesNewRoman" w:cs="TimesNewRoman"/>
        </w:rPr>
        <w:t>2016.gada 14.septembrī EK publicēja p</w:t>
      </w:r>
      <w:r w:rsidRPr="003B11A6">
        <w:rPr>
          <w:spacing w:val="4"/>
        </w:rPr>
        <w:t>riekšlikumu</w:t>
      </w:r>
      <w:r w:rsidRPr="003B11A6">
        <w:rPr>
          <w:rFonts w:ascii="TimesNewRoman" w:hAnsi="TimesNewRoman" w:cs="TimesNewRoman"/>
        </w:rPr>
        <w:t xml:space="preserve"> direktīvai par autortiesībām digitālajā vienotajā tirgū un priekšlikumu </w:t>
      </w:r>
      <w:r w:rsidRPr="003B11A6">
        <w:t xml:space="preserve">regulai par dažu noteikumu saskaņošanu attiecībā uz autortiesībām un blakustiesībām, kas piemērojamas satelītu apraidei un kabeļu retranslācijai. </w:t>
      </w:r>
    </w:p>
    <w:p w14:paraId="094DB01D" w14:textId="77777777" w:rsidR="006C4E42" w:rsidRPr="003B11A6" w:rsidRDefault="006C4E42" w:rsidP="006C4E42">
      <w:pPr>
        <w:autoSpaceDE w:val="0"/>
        <w:autoSpaceDN w:val="0"/>
        <w:adjustRightInd w:val="0"/>
        <w:spacing w:before="120"/>
        <w:rPr>
          <w:bCs/>
        </w:rPr>
      </w:pPr>
      <w:r w:rsidRPr="003B11A6">
        <w:rPr>
          <w:bCs/>
        </w:rPr>
        <w:lastRenderedPageBreak/>
        <w:t xml:space="preserve">Priekšlikums direktīvai ir viena no Digitālā vienotā tirgus stratēģijā paredzētajām iniciatīvām, lai modernizētu autortiesību regulējumu ES. </w:t>
      </w:r>
      <w:r w:rsidRPr="003B11A6">
        <w:rPr>
          <w:rFonts w:ascii="TimesNewRoman" w:hAnsi="TimesNewRoman" w:cs="TimesNewRoman"/>
        </w:rPr>
        <w:t>Direktīvas mērķi ir:</w:t>
      </w:r>
    </w:p>
    <w:p w14:paraId="0469F19A" w14:textId="77777777" w:rsidR="006C4E42" w:rsidRPr="003B11A6" w:rsidRDefault="006C4E42" w:rsidP="003F03EB">
      <w:pPr>
        <w:pStyle w:val="ListParagraph"/>
        <w:numPr>
          <w:ilvl w:val="0"/>
          <w:numId w:val="6"/>
        </w:numPr>
        <w:autoSpaceDE w:val="0"/>
        <w:autoSpaceDN w:val="0"/>
        <w:adjustRightInd w:val="0"/>
        <w:spacing w:before="120"/>
        <w:rPr>
          <w:rFonts w:ascii="TimesNewRoman" w:hAnsi="TimesNewRoman" w:cs="TimesNewRoman"/>
        </w:rPr>
      </w:pPr>
      <w:r w:rsidRPr="003B11A6">
        <w:rPr>
          <w:rFonts w:ascii="TimesNewRoman" w:hAnsi="TimesNewRoman" w:cs="TimesNewRoman"/>
        </w:rPr>
        <w:t>harmonizēt ES autortiesību un blakustiesību nosacījumus iekšējā tirgū;</w:t>
      </w:r>
    </w:p>
    <w:p w14:paraId="6F6642BC" w14:textId="77777777" w:rsidR="006C4E42" w:rsidRPr="003B11A6" w:rsidRDefault="006C4E42" w:rsidP="003F03EB">
      <w:pPr>
        <w:pStyle w:val="ListParagraph"/>
        <w:numPr>
          <w:ilvl w:val="0"/>
          <w:numId w:val="6"/>
        </w:numPr>
        <w:autoSpaceDE w:val="0"/>
        <w:autoSpaceDN w:val="0"/>
        <w:adjustRightInd w:val="0"/>
        <w:spacing w:before="120"/>
        <w:rPr>
          <w:rFonts w:ascii="TimesNewRoman" w:hAnsi="TimesNewRoman" w:cs="TimesNewRoman"/>
        </w:rPr>
      </w:pPr>
      <w:r w:rsidRPr="003B11A6">
        <w:rPr>
          <w:rFonts w:ascii="TimesNewRoman" w:hAnsi="TimesNewRoman" w:cs="TimesNewRoman"/>
        </w:rPr>
        <w:t>pielāgot autortiesību izņēmumus un ierobežojumus digitālajai un pārrobežu videi;</w:t>
      </w:r>
    </w:p>
    <w:p w14:paraId="411B236D" w14:textId="77777777" w:rsidR="006C4E42" w:rsidRPr="003B11A6" w:rsidRDefault="006C4E42" w:rsidP="003F03EB">
      <w:pPr>
        <w:pStyle w:val="ListParagraph"/>
        <w:numPr>
          <w:ilvl w:val="0"/>
          <w:numId w:val="6"/>
        </w:numPr>
        <w:autoSpaceDE w:val="0"/>
        <w:autoSpaceDN w:val="0"/>
        <w:adjustRightInd w:val="0"/>
        <w:spacing w:before="120"/>
        <w:rPr>
          <w:rFonts w:ascii="TimesNewRoman" w:hAnsi="TimesNewRoman" w:cs="TimesNewRoman"/>
        </w:rPr>
      </w:pPr>
      <w:r w:rsidRPr="003B11A6">
        <w:rPr>
          <w:rFonts w:ascii="TimesNewRoman" w:hAnsi="TimesNewRoman" w:cs="TimesNewRoman"/>
        </w:rPr>
        <w:t>sekmēt licencēšanu;</w:t>
      </w:r>
    </w:p>
    <w:p w14:paraId="492AF3A0" w14:textId="77777777" w:rsidR="006C4E42" w:rsidRPr="003B11A6" w:rsidRDefault="006C4E42" w:rsidP="003F03EB">
      <w:pPr>
        <w:pStyle w:val="ListParagraph"/>
        <w:numPr>
          <w:ilvl w:val="0"/>
          <w:numId w:val="6"/>
        </w:numPr>
        <w:autoSpaceDE w:val="0"/>
        <w:autoSpaceDN w:val="0"/>
        <w:adjustRightInd w:val="0"/>
        <w:spacing w:before="120"/>
        <w:rPr>
          <w:rFonts w:ascii="TimesNewRoman" w:hAnsi="TimesNewRoman" w:cs="TimesNewRoman"/>
        </w:rPr>
      </w:pPr>
      <w:r w:rsidRPr="003B11A6">
        <w:rPr>
          <w:rFonts w:ascii="TimesNewRoman" w:hAnsi="TimesNewRoman" w:cs="TimesNewRoman"/>
        </w:rPr>
        <w:t>nodrošināt labi funkcionējošu tirgu ar autortiesībām aizsargātu darbu un blakustiesību objektu izmantošanai.</w:t>
      </w:r>
    </w:p>
    <w:p w14:paraId="0FD1119A" w14:textId="260253D4" w:rsidR="006C4E42" w:rsidRPr="003B11A6" w:rsidRDefault="006C4E42" w:rsidP="006C4E42">
      <w:pPr>
        <w:autoSpaceDE w:val="0"/>
        <w:autoSpaceDN w:val="0"/>
        <w:adjustRightInd w:val="0"/>
        <w:spacing w:before="120"/>
        <w:ind w:right="76"/>
        <w:rPr>
          <w:lang w:eastAsia="en-US"/>
        </w:rPr>
      </w:pPr>
      <w:r w:rsidRPr="003B11A6">
        <w:rPr>
          <w:rFonts w:ascii="TimesNewRoman" w:hAnsi="TimesNewRoman" w:cs="TimesNewRoman"/>
        </w:rPr>
        <w:t xml:space="preserve">2018.gada 31.janvārī </w:t>
      </w:r>
      <w:r w:rsidRPr="003B11A6">
        <w:rPr>
          <w:lang w:eastAsia="en-US"/>
        </w:rPr>
        <w:t xml:space="preserve">COREPER I sanāksmē tika saņemtas politiska līmeņa norādes par direktīvas 11. un 13.pantu – attiecībā uz galvenajiem neatrisinātajiem jautājumiem. Atbilstoši saņemtajām norādēm tālākas diskusijas notika darba grupā un atašeju sanāksmē. </w:t>
      </w:r>
      <w:r w:rsidRPr="003B11A6">
        <w:rPr>
          <w:rFonts w:ascii="TimesNewRoman" w:hAnsi="TimesNewRoman" w:cs="TimesNewRoman"/>
        </w:rPr>
        <w:t xml:space="preserve">2018.gada </w:t>
      </w:r>
      <w:r w:rsidRPr="003B11A6">
        <w:rPr>
          <w:lang w:eastAsia="en-US"/>
        </w:rPr>
        <w:t xml:space="preserve">27.aprīļa COREPER I sanāksmē </w:t>
      </w:r>
      <w:r w:rsidR="00B16C22">
        <w:rPr>
          <w:lang w:eastAsia="en-US"/>
        </w:rPr>
        <w:t>ES Padom</w:t>
      </w:r>
      <w:r w:rsidR="00B16C22" w:rsidRPr="003B11A6">
        <w:rPr>
          <w:lang w:eastAsia="en-US"/>
        </w:rPr>
        <w:t>ē</w:t>
      </w:r>
      <w:r w:rsidR="00B16C22">
        <w:rPr>
          <w:lang w:eastAsia="en-US"/>
        </w:rPr>
        <w:t xml:space="preserve"> prezid</w:t>
      </w:r>
      <w:r w:rsidR="00B16C22" w:rsidRPr="003B11A6">
        <w:rPr>
          <w:lang w:eastAsia="en-US"/>
        </w:rPr>
        <w:t>ē</w:t>
      </w:r>
      <w:r w:rsidR="00B16C22">
        <w:rPr>
          <w:lang w:eastAsia="en-US"/>
        </w:rPr>
        <w:t xml:space="preserve">jošā valsts </w:t>
      </w:r>
      <w:r w:rsidR="003C57B3">
        <w:rPr>
          <w:lang w:eastAsia="en-US"/>
        </w:rPr>
        <w:t>Bulg</w:t>
      </w:r>
      <w:r w:rsidR="00B16C22">
        <w:rPr>
          <w:lang w:eastAsia="en-US"/>
        </w:rPr>
        <w:t>ārija</w:t>
      </w:r>
      <w:r w:rsidR="003C57B3" w:rsidRPr="003B11A6">
        <w:rPr>
          <w:lang w:eastAsia="en-US"/>
        </w:rPr>
        <w:t xml:space="preserve"> </w:t>
      </w:r>
      <w:r w:rsidRPr="003B11A6">
        <w:rPr>
          <w:lang w:eastAsia="en-US"/>
        </w:rPr>
        <w:t xml:space="preserve">vēlējās saņemt mandātu sarunām ar EP, taču delegācijas norādīja, ka tekstu nepieciešams uzlabot, lai panāktu sabalansētu risinājumu. </w:t>
      </w:r>
    </w:p>
    <w:p w14:paraId="629CF791" w14:textId="4256B6CC" w:rsidR="006C4E42" w:rsidRPr="003B11A6" w:rsidRDefault="006C4E42" w:rsidP="006C4E42">
      <w:pPr>
        <w:autoSpaceDE w:val="0"/>
        <w:autoSpaceDN w:val="0"/>
        <w:adjustRightInd w:val="0"/>
        <w:spacing w:before="120"/>
        <w:ind w:right="76"/>
        <w:rPr>
          <w:lang w:eastAsia="en-US"/>
        </w:rPr>
      </w:pPr>
      <w:r w:rsidRPr="003B11A6">
        <w:rPr>
          <w:lang w:eastAsia="en-US"/>
        </w:rPr>
        <w:t xml:space="preserve">2018.gada 25.maija COREPER I sanāksmē </w:t>
      </w:r>
      <w:r w:rsidR="00857948" w:rsidRPr="00857948">
        <w:t>ES Padomē prezidējošās valsts</w:t>
      </w:r>
      <w:r w:rsidR="00857948">
        <w:rPr>
          <w:i/>
        </w:rPr>
        <w:t xml:space="preserve"> </w:t>
      </w:r>
      <w:r w:rsidRPr="003B11A6">
        <w:rPr>
          <w:lang w:eastAsia="en-US"/>
        </w:rPr>
        <w:t>atkārtoti centīsies saņemt mandātu sarunām ar EP.</w:t>
      </w:r>
    </w:p>
    <w:p w14:paraId="3AD25F7A" w14:textId="77777777" w:rsidR="006C4E42" w:rsidRPr="003B11A6" w:rsidRDefault="006C4E42" w:rsidP="006C4E42">
      <w:r w:rsidRPr="003B11A6">
        <w:t xml:space="preserve">Atbilstoši Kultūras ministrijas izstrādātajai Latvijas nacionālajai pozīcijai Nr.1 </w:t>
      </w:r>
      <w:r w:rsidRPr="003B11A6">
        <w:rPr>
          <w:i/>
        </w:rPr>
        <w:t xml:space="preserve">"Par priekšlikumu Eiropas Parlamenta un Padomes Direktīvai par autortiesībām </w:t>
      </w:r>
      <w:r w:rsidRPr="003B11A6">
        <w:rPr>
          <w:rFonts w:ascii="TimesNewRoman" w:hAnsi="TimesNewRoman" w:cs="TimesNewRoman"/>
          <w:i/>
        </w:rPr>
        <w:t>digitālajā vienotajā tirgū</w:t>
      </w:r>
      <w:r w:rsidRPr="003B11A6">
        <w:rPr>
          <w:i/>
        </w:rPr>
        <w:t>"</w:t>
      </w:r>
      <w:r w:rsidRPr="003B11A6">
        <w:t xml:space="preserve">, Latvija kopumā atbalsta direktīvas mērķus. </w:t>
      </w:r>
    </w:p>
    <w:p w14:paraId="33A59114" w14:textId="77777777" w:rsidR="006C4E42" w:rsidRPr="003B11A6" w:rsidRDefault="006C4E42" w:rsidP="006C4E42">
      <w:r w:rsidRPr="003B11A6">
        <w:rPr>
          <w:rFonts w:ascii="TimesNewRoman" w:hAnsi="TimesNewRoman" w:cs="TimesNewRoman"/>
        </w:rPr>
        <w:t>Priekšlikums regulai atbilst vienam no galvenajiem Digitālā vienotā tirgus stratēģijā noteiktajiem mērķiem: lietotājiem pavērt plašāku piekļuvi TV un radio raidījumiem visā ES teritorijā. Regulas mērķis ir, veicot izmaiņas ES tiesiskajā regulējumā, sekmēt papildinošu tiešsaistes pakalpojumu sniegšanu pāri robežām un atvieglot tādu TV un radio programmu, kuru izcelsme ir citās dalībvalstīs, digitālo retranslēšanu pa slēgtiem tīkliem.</w:t>
      </w:r>
    </w:p>
    <w:p w14:paraId="71BB8A39" w14:textId="4F96E919" w:rsidR="006C4E42" w:rsidRPr="003B11A6" w:rsidRDefault="006C4E42" w:rsidP="006C4E42">
      <w:pPr>
        <w:rPr>
          <w:lang w:eastAsia="en-US"/>
        </w:rPr>
      </w:pPr>
      <w:r w:rsidRPr="003B11A6">
        <w:rPr>
          <w:lang w:eastAsia="en-US"/>
        </w:rPr>
        <w:t xml:space="preserve">2017.gada 15.decembrī COREPER I sanāksmē tika piešķirts mandāts sarunu uzsākšanai ar EP. Pēc mandāta saņemšanas notika divi trialogi un vairākas tehniska rakstura sanāksmes, taču būtisks progress netika panākts. 2018.gada 13.aprīļa COREPER I sanāksmē </w:t>
      </w:r>
      <w:r w:rsidR="00B16C22">
        <w:rPr>
          <w:lang w:eastAsia="en-US"/>
        </w:rPr>
        <w:t>ES Padom</w:t>
      </w:r>
      <w:r w:rsidR="00B16C22" w:rsidRPr="003B11A6">
        <w:rPr>
          <w:lang w:eastAsia="en-US"/>
        </w:rPr>
        <w:t>ē</w:t>
      </w:r>
      <w:r w:rsidR="00B16C22">
        <w:rPr>
          <w:lang w:eastAsia="en-US"/>
        </w:rPr>
        <w:t xml:space="preserve"> prezid</w:t>
      </w:r>
      <w:r w:rsidR="00B16C22" w:rsidRPr="003B11A6">
        <w:rPr>
          <w:lang w:eastAsia="en-US"/>
        </w:rPr>
        <w:t>ē</w:t>
      </w:r>
      <w:r w:rsidR="00B16C22">
        <w:rPr>
          <w:lang w:eastAsia="en-US"/>
        </w:rPr>
        <w:t>jošā valsts Bulgārija</w:t>
      </w:r>
      <w:r w:rsidR="00B16C22" w:rsidRPr="003B11A6">
        <w:rPr>
          <w:lang w:eastAsia="en-US"/>
        </w:rPr>
        <w:t xml:space="preserve"> </w:t>
      </w:r>
      <w:r w:rsidRPr="003B11A6">
        <w:rPr>
          <w:lang w:eastAsia="en-US"/>
        </w:rPr>
        <w:t xml:space="preserve">saņēma mandātu trešajam trialogam ar EP. </w:t>
      </w:r>
    </w:p>
    <w:p w14:paraId="42B2A45E" w14:textId="77777777" w:rsidR="006C4E42" w:rsidRPr="003B11A6" w:rsidRDefault="006C4E42" w:rsidP="006C4E42">
      <w:r w:rsidRPr="003B11A6">
        <w:t xml:space="preserve">Atbilstoši Kultūras ministrijas izstrādātajai Latvijas nacionālajai pozīcijai Nr.1 </w:t>
      </w:r>
      <w:r w:rsidRPr="003B11A6">
        <w:rPr>
          <w:i/>
        </w:rPr>
        <w:t>"Par priekšlikumu Eiropas Parlamenta un Padomes Regulai par dažu noteikumu saskaņošanu attiecībā uz autortiesībām un blakustiesībām, kas piemērojamas satelītu apraidei un kabeļu retranslācijai"</w:t>
      </w:r>
      <w:r w:rsidRPr="003B11A6">
        <w:t xml:space="preserve">, Latvija kopumā atbalsta regulas mērķus. </w:t>
      </w:r>
    </w:p>
    <w:p w14:paraId="5A588722" w14:textId="77777777" w:rsidR="00337E42" w:rsidRPr="003B11A6" w:rsidRDefault="00337E42" w:rsidP="00337E42">
      <w:pPr>
        <w:pStyle w:val="ListParagraph"/>
        <w:spacing w:after="200" w:line="276" w:lineRule="auto"/>
        <w:ind w:left="1080" w:firstLine="0"/>
      </w:pPr>
    </w:p>
    <w:p w14:paraId="11450D27" w14:textId="77777777" w:rsidR="00337E42" w:rsidRPr="003B11A6" w:rsidRDefault="00A512AE" w:rsidP="003F03EB">
      <w:pPr>
        <w:pStyle w:val="DashEqual1"/>
        <w:keepNext/>
        <w:keepLines/>
        <w:numPr>
          <w:ilvl w:val="2"/>
          <w:numId w:val="4"/>
        </w:numPr>
        <w:ind w:hanging="513"/>
        <w:rPr>
          <w:b/>
        </w:rPr>
      </w:pPr>
      <w:r w:rsidRPr="003B11A6">
        <w:rPr>
          <w:b/>
        </w:rPr>
        <w:t xml:space="preserve">Uz </w:t>
      </w:r>
      <w:r w:rsidRPr="00B16C22">
        <w:rPr>
          <w:b/>
          <w:lang w:val="lv-LV"/>
        </w:rPr>
        <w:t>patērētājiem</w:t>
      </w:r>
      <w:r w:rsidRPr="003B11A6">
        <w:rPr>
          <w:b/>
        </w:rPr>
        <w:t xml:space="preserve"> orientētais jaunais kurss</w:t>
      </w:r>
    </w:p>
    <w:p w14:paraId="211656EE" w14:textId="77777777" w:rsidR="008A433C" w:rsidRPr="003B11A6" w:rsidRDefault="008A433C" w:rsidP="00B16C22">
      <w:pPr>
        <w:pStyle w:val="DashEqual1"/>
        <w:keepNext/>
        <w:keepLines/>
        <w:numPr>
          <w:ilvl w:val="0"/>
          <w:numId w:val="0"/>
        </w:numPr>
        <w:ind w:left="567"/>
        <w:rPr>
          <w:i/>
          <w:lang w:val="lv-LV"/>
        </w:rPr>
      </w:pPr>
      <w:r w:rsidRPr="003B11A6">
        <w:rPr>
          <w:i/>
          <w:lang w:val="lv-LV"/>
        </w:rPr>
        <w:t>= EK sniegta informācija</w:t>
      </w:r>
    </w:p>
    <w:p w14:paraId="7111A00E" w14:textId="23E20893" w:rsidR="00A512AE" w:rsidRPr="003B11A6" w:rsidRDefault="00A512AE" w:rsidP="00C31F0B">
      <w:pPr>
        <w:spacing w:before="120"/>
      </w:pPr>
      <w:r w:rsidRPr="003B11A6">
        <w:t xml:space="preserve">Š.g. 11.aprīlī EK nāca klajā ar </w:t>
      </w:r>
      <w:r w:rsidR="00B16C22">
        <w:t xml:space="preserve">paziņojumu </w:t>
      </w:r>
      <w:r w:rsidR="00B16C22" w:rsidRPr="00B16C22">
        <w:t>"U</w:t>
      </w:r>
      <w:r w:rsidRPr="003B11A6">
        <w:t>z patērētājiem orientētu jaunu kurs</w:t>
      </w:r>
      <w:r w:rsidR="00B16C22">
        <w:t>s</w:t>
      </w:r>
      <w:r w:rsidR="00B16C22" w:rsidRPr="00B16C22">
        <w:t>"</w:t>
      </w:r>
      <w:r w:rsidRPr="003B11A6">
        <w:t xml:space="preserve">, lai nodrošinātu, ka visi Eiropas patērētāji pilnībā izmanto savas tiesības saskaņā ar </w:t>
      </w:r>
      <w:r w:rsidR="00C31F0B" w:rsidRPr="003B11A6">
        <w:t xml:space="preserve">ES </w:t>
      </w:r>
      <w:r w:rsidRPr="003B11A6">
        <w:t>tiesību aktiem.</w:t>
      </w:r>
    </w:p>
    <w:p w14:paraId="4C3630BF" w14:textId="77777777" w:rsidR="00A512AE" w:rsidRPr="003B11A6" w:rsidRDefault="00A512AE" w:rsidP="00C31F0B">
      <w:pPr>
        <w:spacing w:before="120"/>
      </w:pPr>
      <w:r w:rsidRPr="003B11A6">
        <w:t xml:space="preserve">Lai gan ES jau tiek piemēroti vieni no stingrākajiem patērētāju aizsardzības noteikumiem pasaulē, nesenie gadījumi, piemēram “dīzeļgeitas” skandāls, liecina, ka šos noteikumus ir grūti pilnībā īstenot praksē. Uz patērētājiem orientētais jaunais kurss ļaus kvalificētām vienībām celt pārstāvības prasības patērētāju vārdā un nodrošinās lielākas </w:t>
      </w:r>
      <w:r w:rsidR="00357CBB" w:rsidRPr="003B11A6">
        <w:t xml:space="preserve">sodu </w:t>
      </w:r>
      <w:r w:rsidRPr="003B11A6">
        <w:t>piemērošanas pilnvaras dalībvalstu patērētāju tiesību aizsardzības iestādēm. Tas arī ļaus paplašināt patērētāju aizsardzības darbības jomu attiecībā uz tiešsaistes darbībām un izskaidros, kā ES tiesību aktos tiks precizēts, ka divējādas kvalitātes prakse, kas maldina patērētājus, ir aizliegta.</w:t>
      </w:r>
    </w:p>
    <w:p w14:paraId="55F8EC5F" w14:textId="77777777" w:rsidR="00A512AE" w:rsidRPr="003B11A6" w:rsidRDefault="00A512AE" w:rsidP="00C31F0B">
      <w:pPr>
        <w:spacing w:before="120"/>
      </w:pPr>
      <w:r w:rsidRPr="003B11A6">
        <w:lastRenderedPageBreak/>
        <w:t>Eiropai ir nepieciešami uzlabojumi normatīvajos aktos, lai tos padarītu efektīvākus un vienkāršākus, kā arī turpmāk ir jāturpina strādāt pie tā, lai uzlabotu jau esošo regulējumu un izvairīties no arvien jaunu normu radīšanas.</w:t>
      </w:r>
    </w:p>
    <w:p w14:paraId="4990E24F" w14:textId="77777777" w:rsidR="00A512AE" w:rsidRPr="003B11A6" w:rsidRDefault="00A512AE" w:rsidP="00C31F0B">
      <w:pPr>
        <w:spacing w:before="120"/>
      </w:pPr>
      <w:r w:rsidRPr="003B11A6">
        <w:t>Latvija uzskata šo priekšlikumu par svarīgu, un tas nesīs būtiskas izmaiņas, it īpaši attiecībā uz patērētāju interešu aizsardzību kolektīvi un zaudējumu kompensāciju patērētāju tiesību pārkāpumu gadījumos. Sekmīgai tirgus attīstībai svarīgi ir neaizmirst, ka ir jāsaglabā līdzsvars starp patērētāju un komersantu interesēm.</w:t>
      </w:r>
    </w:p>
    <w:p w14:paraId="5646DCD2" w14:textId="77777777" w:rsidR="00C31F0B" w:rsidRPr="003B11A6" w:rsidRDefault="00C31F0B" w:rsidP="00C31F0B">
      <w:pPr>
        <w:spacing w:before="120"/>
      </w:pPr>
    </w:p>
    <w:p w14:paraId="7792423F" w14:textId="77777777" w:rsidR="00A512AE" w:rsidRPr="00B16C22" w:rsidRDefault="00A512AE" w:rsidP="003F03EB">
      <w:pPr>
        <w:pStyle w:val="ListParagraph"/>
        <w:numPr>
          <w:ilvl w:val="2"/>
          <w:numId w:val="4"/>
        </w:numPr>
        <w:ind w:left="1077" w:hanging="510"/>
        <w:contextualSpacing w:val="0"/>
        <w:rPr>
          <w:b/>
        </w:rPr>
      </w:pPr>
      <w:r w:rsidRPr="003B11A6">
        <w:rPr>
          <w:b/>
        </w:rPr>
        <w:t>Uzņēmējdarbības tiesības: Saskaņoti noteikumi par uzņēmumu pārvietošanu, apvienošanos un sadalīšanu ar spēcīgiem aizsardzības pasākumiem pret ļaunprātīgu rīcību un Uzņēmumu izveide tiešsaistē</w:t>
      </w:r>
      <w:r w:rsidR="004F3F43" w:rsidRPr="003B11A6">
        <w:t>.</w:t>
      </w:r>
      <w:r w:rsidR="003867A7" w:rsidRPr="003B11A6">
        <w:t xml:space="preserve"> (Tieslietu ministrijas jautājums)</w:t>
      </w:r>
    </w:p>
    <w:p w14:paraId="4104628C" w14:textId="77777777" w:rsidR="008A433C" w:rsidRPr="003B11A6" w:rsidRDefault="008A433C" w:rsidP="00B16C22">
      <w:pPr>
        <w:pStyle w:val="DashEqual1"/>
        <w:keepNext/>
        <w:keepLines/>
        <w:numPr>
          <w:ilvl w:val="0"/>
          <w:numId w:val="0"/>
        </w:numPr>
        <w:ind w:left="567"/>
        <w:rPr>
          <w:i/>
          <w:lang w:val="lv-LV"/>
        </w:rPr>
      </w:pPr>
      <w:r w:rsidRPr="003B11A6">
        <w:rPr>
          <w:i/>
          <w:lang w:val="lv-LV"/>
        </w:rPr>
        <w:t>= EK sniegta informācija</w:t>
      </w:r>
    </w:p>
    <w:p w14:paraId="604571D8" w14:textId="77777777" w:rsidR="004F3F43" w:rsidRPr="003B11A6" w:rsidRDefault="004F3F43" w:rsidP="00C31F0B">
      <w:pPr>
        <w:spacing w:before="120"/>
      </w:pPr>
      <w:r w:rsidRPr="003B11A6">
        <w:t>EK š.g. 25.aprīlī nāca klajā ar jauniem uzņēmējdarbības tiesību noteikumu projektiem, lai uzņēmumi varētu vieglāk apvienoties, sadalīties vai pārvietoties vienotajā tirgū.</w:t>
      </w:r>
    </w:p>
    <w:p w14:paraId="632D5544" w14:textId="77777777" w:rsidR="004F3F43" w:rsidRPr="003B11A6" w:rsidRDefault="004F3F43" w:rsidP="00C31F0B">
      <w:pPr>
        <w:spacing w:before="120"/>
      </w:pPr>
      <w:r w:rsidRPr="003B11A6">
        <w:t>Jaunie noteikumi arī nodrošinās, ka tiek labi aizsargātas darbinieku tiesības un novērsta ļaunprātīga rīcība nodokļu jomā. Noteikumi stimulēs Eiropas uzņēmumu izaugsmes potenciālu, digitalizējot uzņēmuma izveides un uzņēmējdarbības veikšanas procesu.</w:t>
      </w:r>
    </w:p>
    <w:p w14:paraId="668BD8AC" w14:textId="316FB2EA" w:rsidR="00B16C22" w:rsidRDefault="004F3F43" w:rsidP="00C31F0B">
      <w:pPr>
        <w:spacing w:before="120"/>
      </w:pPr>
      <w:r w:rsidRPr="003B11A6">
        <w:t xml:space="preserve">Uzņēmumu izveide tiešsaistē </w:t>
      </w:r>
      <w:r w:rsidR="00B16C22">
        <w:t xml:space="preserve">– </w:t>
      </w:r>
      <w:r w:rsidRPr="003B11A6">
        <w:t>patlaban uzņēmumu reģistrācijas procedūru, kas pilnībā tiek veikta tiešsaistē, piedāvā tikai 17 dalībvalstis. Saskaņā ar jaunajiem noteikumiem visās dalībvalstīs uzņēmumi varēs reģistrēties, izveidot jaunas filiāles vai iesniegt dokumentus komercreģistrā tiešsaistē. Digitalizācija padara uzņēmuma izveides procesu efektīvāku un rentablāku:</w:t>
      </w:r>
    </w:p>
    <w:p w14:paraId="1597D686" w14:textId="252F87BD" w:rsidR="00B16C22" w:rsidRDefault="004F3F43" w:rsidP="003F03EB">
      <w:pPr>
        <w:pStyle w:val="ListParagraph"/>
        <w:numPr>
          <w:ilvl w:val="0"/>
          <w:numId w:val="7"/>
        </w:numPr>
        <w:spacing w:before="120"/>
      </w:pPr>
      <w:r w:rsidRPr="003B11A6">
        <w:t>reģistrācijai tiešsaistē vajadzīgs vidēji uz pusi īsāks laiks, un tā var būt līdz pat trīs reizes lētāka par tradicionālo reģistrāciju papīra formātā;</w:t>
      </w:r>
    </w:p>
    <w:p w14:paraId="0AEBFDB0" w14:textId="2B771123" w:rsidR="00B16C22" w:rsidRDefault="004F3F43" w:rsidP="003F03EB">
      <w:pPr>
        <w:pStyle w:val="ListParagraph"/>
        <w:numPr>
          <w:ilvl w:val="0"/>
          <w:numId w:val="7"/>
        </w:numPr>
        <w:spacing w:before="120"/>
      </w:pPr>
      <w:r w:rsidRPr="003B11A6">
        <w:t>ES uzņēmumu ietaupījumi no reģistrācijas un dokumentu iesniegšanas tiešsaistē saskaņā ar jaunajiem noteikumiem tiek lēsti 42 līdz 84 miljonu eiro apmērā gadā;</w:t>
      </w:r>
    </w:p>
    <w:p w14:paraId="39691E9D" w14:textId="11D93D64" w:rsidR="00B16C22" w:rsidRDefault="004F3F43" w:rsidP="003F03EB">
      <w:pPr>
        <w:pStyle w:val="ListParagraph"/>
        <w:numPr>
          <w:ilvl w:val="0"/>
          <w:numId w:val="7"/>
        </w:numPr>
        <w:spacing w:before="120"/>
      </w:pPr>
      <w:r w:rsidRPr="003B11A6">
        <w:t>vienreizējās iesniegšanas princips, kas iekļauts šodien iesniegtajā priekšlikumā, aizstāj vajadzību uzņēmuma pastāvēšanas laikā iesniegt vienu un to pašu informāciju vairākas reizes dažādām iestādēm;</w:t>
      </w:r>
    </w:p>
    <w:p w14:paraId="5D2CFDD3" w14:textId="5614D85A" w:rsidR="004F3F43" w:rsidRPr="003B11A6" w:rsidRDefault="004F3F43" w:rsidP="003F03EB">
      <w:pPr>
        <w:pStyle w:val="ListParagraph"/>
        <w:numPr>
          <w:ilvl w:val="0"/>
          <w:numId w:val="7"/>
        </w:numPr>
        <w:spacing w:before="120"/>
      </w:pPr>
      <w:r w:rsidRPr="003B11A6">
        <w:t>visām ieinteresētajām personām bez maksas komercreģistros būs pieejams vairāk informācijas par uzņēmumiem.</w:t>
      </w:r>
    </w:p>
    <w:p w14:paraId="2212659D" w14:textId="77777777" w:rsidR="004F3F43" w:rsidRPr="003B11A6" w:rsidRDefault="004F3F43" w:rsidP="00C31F0B">
      <w:pPr>
        <w:spacing w:before="120"/>
      </w:pPr>
      <w:r w:rsidRPr="003B11A6">
        <w:t>Lai novērstu krāpšanu un ļaunprātīgu rīcību, valstu iestādes varēs paļauties uz citas dalībvalsts informāciju par diskvalificētiem direktoriem. Ja tām ir aizdomas par krāpšanu, iestādes joprojām varēs pieprasīt uzņēmuma īpašnieku fizisku klātbūtni. Tās arī varēs pieprasīt struktūru, piemēram, notāru, iesaisti procesā.</w:t>
      </w:r>
    </w:p>
    <w:p w14:paraId="36D10955" w14:textId="77777777" w:rsidR="00A512AE" w:rsidRPr="003B11A6" w:rsidRDefault="00A512AE" w:rsidP="00A512AE">
      <w:pPr>
        <w:pStyle w:val="ListParagraph"/>
        <w:spacing w:after="200" w:line="276" w:lineRule="auto"/>
        <w:ind w:left="1080" w:firstLine="0"/>
      </w:pPr>
    </w:p>
    <w:p w14:paraId="0DF883B4" w14:textId="77777777" w:rsidR="00875D13" w:rsidRPr="00651D2A" w:rsidRDefault="00875D13" w:rsidP="003F03EB">
      <w:pPr>
        <w:pStyle w:val="ListParagraph"/>
        <w:numPr>
          <w:ilvl w:val="1"/>
          <w:numId w:val="4"/>
        </w:numPr>
        <w:ind w:left="993" w:hanging="426"/>
        <w:contextualSpacing w:val="0"/>
        <w:rPr>
          <w:b/>
        </w:rPr>
      </w:pPr>
      <w:r w:rsidRPr="003B11A6">
        <w:rPr>
          <w:b/>
        </w:rPr>
        <w:t xml:space="preserve">Vienotā </w:t>
      </w:r>
      <w:r w:rsidR="005409D6" w:rsidRPr="003B11A6">
        <w:rPr>
          <w:b/>
        </w:rPr>
        <w:t xml:space="preserve">spēka Eiropas </w:t>
      </w:r>
      <w:r w:rsidRPr="003B11A6">
        <w:rPr>
          <w:b/>
        </w:rPr>
        <w:t xml:space="preserve">patenta sistēmas un Vienotās patenta tiesas </w:t>
      </w:r>
      <w:r w:rsidRPr="00294CE6">
        <w:t>(Tieslietu ministrijas jautājums)</w:t>
      </w:r>
    </w:p>
    <w:p w14:paraId="11E13D93" w14:textId="010E3304" w:rsidR="00875D13" w:rsidRPr="003B11A6" w:rsidRDefault="00875D13" w:rsidP="00294CE6">
      <w:pPr>
        <w:pStyle w:val="ListParagraph"/>
        <w:spacing w:after="200" w:line="276" w:lineRule="auto"/>
        <w:ind w:left="567" w:firstLine="0"/>
        <w:rPr>
          <w:i/>
        </w:rPr>
      </w:pPr>
      <w:r w:rsidRPr="003B11A6">
        <w:rPr>
          <w:i/>
        </w:rPr>
        <w:t xml:space="preserve">= Informācija no </w:t>
      </w:r>
      <w:r w:rsidR="00B16C22">
        <w:rPr>
          <w:i/>
        </w:rPr>
        <w:t>ES Padomē prezidējošās valsts</w:t>
      </w:r>
    </w:p>
    <w:p w14:paraId="0903F830" w14:textId="77777777" w:rsidR="00875D13" w:rsidRPr="003B11A6" w:rsidRDefault="00875D13" w:rsidP="00C31F0B">
      <w:pPr>
        <w:spacing w:before="120"/>
        <w:rPr>
          <w:i/>
        </w:rPr>
      </w:pPr>
      <w:r w:rsidRPr="003B11A6">
        <w:t xml:space="preserve">Prezidējošā valsts sniegs informāciju par Vienotā patenta sistēmas un Vienotā patenta tiesas izveides statusu. </w:t>
      </w:r>
    </w:p>
    <w:p w14:paraId="7854FD5C" w14:textId="77777777" w:rsidR="00875D13" w:rsidRPr="003B11A6" w:rsidRDefault="00875D13" w:rsidP="00C31F0B">
      <w:pPr>
        <w:spacing w:before="120"/>
      </w:pPr>
      <w:r w:rsidRPr="003B11A6">
        <w:t xml:space="preserve">2017. gada 30. martā Latvijas Republikas Saeima ir pieņēmusi likumu “Par Vienotās Patentu tiesas izveides nolīgumu”, ar kuru tiek ratificēts 2013. gada 19. februārī Briselē </w:t>
      </w:r>
      <w:r w:rsidRPr="003B11A6">
        <w:lastRenderedPageBreak/>
        <w:t xml:space="preserve">parakstītais Vienotās patentu tiesas izveides nolīgums. Tāpat arī 2017. gada 26. oktobrī Saeimā ir pieņemts likums “Par Vienotās patentu tiesas Ziemeļvalstu-Baltijas valstu reģionālās nodaļas izveides nolīgumu”, tādējādi ratificējot 2014. gada 4. martā Briselē parakstīto starptautisko līgumu "Nolīgums par Vienotās patentu tiesas Ziemeļvalstu-Baltijas valstu reģionālās nodaļas izveidi". Abi minētie likumi </w:t>
      </w:r>
      <w:r w:rsidR="003D766F" w:rsidRPr="003B11A6">
        <w:t xml:space="preserve">ir stājušies </w:t>
      </w:r>
      <w:r w:rsidRPr="003B11A6">
        <w:t>spēkā 2018. gada 1. janvārī.</w:t>
      </w:r>
    </w:p>
    <w:p w14:paraId="6F88ADE7" w14:textId="77777777" w:rsidR="003D766F" w:rsidRPr="003B11A6" w:rsidRDefault="003D766F" w:rsidP="003D766F">
      <w:pPr>
        <w:spacing w:before="120"/>
      </w:pPr>
      <w:r w:rsidRPr="003B11A6">
        <w:t>Sagaidāms, ka Vienotā patentu tiesa savu darbību varētu uzsākt 2019. gada pirmajā pusē, vienlaikus pastāv iespēja Vienotās patentu tiesas izveides nolīguma dalībvalstīm pievienoties protokolam par Vienotās patentu tiesas izveides nolīguma piemērošanu, lai tādējādi varētu uzsākt sagatavošanos trīs mēnešus pirms Vienotās patentu tiesas izveides nolīguma oficiālā spēkā stāšanās datuma. Lai Latvija pievienotos protokolam par Vienotās patentu tiesas izveides nolīguma piemērošanu, ir nepieciešams veikt attiecīgā protokola ratifikācijas procesu nacionālajā līmenī, ko šobrīd, ņemot vērā šogad gaidāmās Saeimas vēlēšanas, tuvākajā laikā nav plānots veikt.</w:t>
      </w:r>
    </w:p>
    <w:p w14:paraId="69845DF1" w14:textId="77777777" w:rsidR="00C31F0B" w:rsidRPr="003B11A6" w:rsidRDefault="00C31F0B" w:rsidP="00C31F0B">
      <w:pPr>
        <w:spacing w:before="120"/>
      </w:pPr>
    </w:p>
    <w:p w14:paraId="1614DD77" w14:textId="18C7D39D" w:rsidR="008A433C" w:rsidRPr="00294CE6" w:rsidRDefault="00875D13" w:rsidP="003F03EB">
      <w:pPr>
        <w:pStyle w:val="ListParagraph"/>
        <w:numPr>
          <w:ilvl w:val="1"/>
          <w:numId w:val="4"/>
        </w:numPr>
        <w:ind w:left="993" w:hanging="426"/>
        <w:contextualSpacing w:val="0"/>
        <w:rPr>
          <w:b/>
        </w:rPr>
      </w:pPr>
      <w:r w:rsidRPr="00294CE6">
        <w:rPr>
          <w:b/>
        </w:rPr>
        <w:t>Austrijas prezidentūras darba programma</w:t>
      </w:r>
    </w:p>
    <w:p w14:paraId="3980DBD2" w14:textId="450DEBAF" w:rsidR="00875D13" w:rsidRPr="003B11A6" w:rsidRDefault="00875D13" w:rsidP="00294CE6">
      <w:pPr>
        <w:pStyle w:val="ListParagraph"/>
        <w:ind w:left="567" w:firstLine="0"/>
        <w:contextualSpacing w:val="0"/>
        <w:rPr>
          <w:i/>
        </w:rPr>
      </w:pPr>
      <w:r w:rsidRPr="003B11A6">
        <w:rPr>
          <w:i/>
        </w:rPr>
        <w:t xml:space="preserve">= Informācija no </w:t>
      </w:r>
      <w:r w:rsidR="00857948">
        <w:rPr>
          <w:i/>
        </w:rPr>
        <w:t>ES Padomē prezidējošās valsts</w:t>
      </w:r>
    </w:p>
    <w:p w14:paraId="1F7DECF8" w14:textId="77777777" w:rsidR="00875D13" w:rsidRPr="003B11A6" w:rsidRDefault="00875D13" w:rsidP="00C31F0B">
      <w:pPr>
        <w:spacing w:before="120"/>
      </w:pPr>
      <w:r w:rsidRPr="003B11A6">
        <w:t>Austrijas prezidentūra sniegs informāciju par darba programmu, prioritātēm un plānotajiem pasākumiem 2018.gada otrajā pusē.</w:t>
      </w:r>
    </w:p>
    <w:p w14:paraId="3CF8AC3A" w14:textId="77777777" w:rsidR="00C31F0B" w:rsidRPr="003B11A6" w:rsidRDefault="00C31F0B" w:rsidP="00C31F0B">
      <w:pPr>
        <w:spacing w:before="120"/>
      </w:pPr>
    </w:p>
    <w:p w14:paraId="2AF40783" w14:textId="77777777" w:rsidR="00C65C2E" w:rsidRPr="003B11A6" w:rsidRDefault="00C65C2E" w:rsidP="000C29FD">
      <w:pPr>
        <w:keepNext/>
        <w:keepLines/>
        <w:spacing w:line="276" w:lineRule="auto"/>
        <w:ind w:firstLine="0"/>
        <w:rPr>
          <w:b/>
        </w:rPr>
      </w:pPr>
      <w:r w:rsidRPr="003B11A6">
        <w:rPr>
          <w:b/>
        </w:rPr>
        <w:t>Latvijas delegācija</w:t>
      </w:r>
    </w:p>
    <w:p w14:paraId="6ED0E947" w14:textId="114F06DF" w:rsidR="00C65C2E" w:rsidRPr="003B11A6" w:rsidRDefault="00C65C2E" w:rsidP="005704E4">
      <w:pPr>
        <w:spacing w:line="276" w:lineRule="auto"/>
        <w:ind w:left="2552" w:hanging="2552"/>
        <w:rPr>
          <w:highlight w:val="yellow"/>
        </w:rPr>
      </w:pPr>
      <w:r w:rsidRPr="003B11A6">
        <w:t>Delegācijas vadītājs:</w:t>
      </w:r>
      <w:r w:rsidR="00950438" w:rsidRPr="003B11A6">
        <w:tab/>
      </w:r>
      <w:r w:rsidR="00A8117F">
        <w:rPr>
          <w:b/>
        </w:rPr>
        <w:t>Alise Balode</w:t>
      </w:r>
      <w:r w:rsidR="007E5369" w:rsidRPr="003B11A6">
        <w:t>,</w:t>
      </w:r>
      <w:r w:rsidR="00A8117F" w:rsidRPr="00A8117F">
        <w:t xml:space="preserve"> </w:t>
      </w:r>
      <w:r w:rsidR="00A8117F">
        <w:t>vēstniece</w:t>
      </w:r>
      <w:r w:rsidR="00A8117F" w:rsidRPr="00A8117F">
        <w:t>, Latvijas Republikas pastāvīgā pārs</w:t>
      </w:r>
      <w:r w:rsidR="00A8117F">
        <w:t>tāvja Eiropas Savienībā vietniece</w:t>
      </w:r>
      <w:r w:rsidR="00950438" w:rsidRPr="003B11A6">
        <w:t>.</w:t>
      </w:r>
    </w:p>
    <w:p w14:paraId="5F924DF0" w14:textId="77777777" w:rsidR="00C65C2E" w:rsidRPr="003B11A6" w:rsidRDefault="00C65C2E" w:rsidP="000873F9">
      <w:pPr>
        <w:ind w:left="2552" w:hanging="2552"/>
      </w:pPr>
      <w:r w:rsidRPr="003B11A6">
        <w:t>Delegācijas dalībnieki:</w:t>
      </w:r>
      <w:r w:rsidRPr="003B11A6">
        <w:tab/>
      </w:r>
      <w:r w:rsidRPr="003B11A6">
        <w:rPr>
          <w:b/>
        </w:rPr>
        <w:t>Zaiga Liepiņa</w:t>
      </w:r>
      <w:r w:rsidRPr="003B11A6">
        <w:t>, Ekonomikas ministrijas valsts sekretāra vietniece;</w:t>
      </w:r>
    </w:p>
    <w:p w14:paraId="0AC4E7DA" w14:textId="77777777" w:rsidR="00C65C2E" w:rsidRPr="003B11A6" w:rsidRDefault="00C65C2E" w:rsidP="000873F9">
      <w:pPr>
        <w:ind w:left="2552" w:firstLine="0"/>
      </w:pPr>
      <w:r w:rsidRPr="003B11A6">
        <w:rPr>
          <w:b/>
          <w:bCs/>
        </w:rPr>
        <w:t>Rinalds Celmiņš</w:t>
      </w:r>
      <w:r w:rsidRPr="003B11A6">
        <w:rPr>
          <w:bCs/>
        </w:rPr>
        <w:t xml:space="preserve">, </w:t>
      </w:r>
      <w:r w:rsidRPr="003B11A6">
        <w:t>Ekonomikas ministrijas nozares padomnieks Latvijas Republikas Pastāvīgajā pārstāvniecībā Eiropas Savienībā;</w:t>
      </w:r>
    </w:p>
    <w:p w14:paraId="3EFF4CBE" w14:textId="77777777" w:rsidR="009952D4" w:rsidRPr="003B11A6" w:rsidRDefault="009952D4" w:rsidP="009E0ACC">
      <w:pPr>
        <w:ind w:left="2552" w:firstLine="0"/>
      </w:pPr>
      <w:r w:rsidRPr="003B11A6">
        <w:rPr>
          <w:b/>
          <w:bCs/>
        </w:rPr>
        <w:t>Linda Duntava</w:t>
      </w:r>
      <w:r w:rsidRPr="003B11A6">
        <w:rPr>
          <w:bCs/>
        </w:rPr>
        <w:t xml:space="preserve">, </w:t>
      </w:r>
      <w:r w:rsidRPr="003B11A6">
        <w:t>Ekonomika</w:t>
      </w:r>
      <w:r w:rsidR="00804977" w:rsidRPr="003B11A6">
        <w:t>s ministrijas nozares padomniece</w:t>
      </w:r>
      <w:r w:rsidRPr="003B11A6">
        <w:t xml:space="preserve"> Latvijas Republikas Pastāvīgajā p</w:t>
      </w:r>
      <w:r w:rsidR="00642F24" w:rsidRPr="003B11A6">
        <w:t>ārstāvniecībā Eiropas Savienībā</w:t>
      </w:r>
      <w:r w:rsidR="009E0ACC" w:rsidRPr="003B11A6">
        <w:t>.</w:t>
      </w:r>
    </w:p>
    <w:p w14:paraId="632FF7DA" w14:textId="77777777" w:rsidR="00950438" w:rsidRPr="003B11A6" w:rsidRDefault="00950438" w:rsidP="00C65C2E">
      <w:pPr>
        <w:tabs>
          <w:tab w:val="right" w:pos="8931"/>
        </w:tabs>
      </w:pPr>
    </w:p>
    <w:p w14:paraId="42445670" w14:textId="77777777" w:rsidR="00C65C2E" w:rsidRPr="003B11A6" w:rsidRDefault="00C65C2E" w:rsidP="005704E4">
      <w:pPr>
        <w:tabs>
          <w:tab w:val="right" w:pos="8931"/>
        </w:tabs>
        <w:ind w:firstLine="0"/>
      </w:pPr>
      <w:r w:rsidRPr="003B11A6">
        <w:t>Iesniedzējs:</w:t>
      </w:r>
    </w:p>
    <w:p w14:paraId="52B4E446" w14:textId="77777777" w:rsidR="00C65C2E" w:rsidRPr="003B11A6" w:rsidRDefault="00C65C2E" w:rsidP="005704E4">
      <w:pPr>
        <w:tabs>
          <w:tab w:val="right" w:pos="9072"/>
        </w:tabs>
        <w:spacing w:after="0"/>
        <w:ind w:firstLine="0"/>
      </w:pPr>
      <w:r w:rsidRPr="003B11A6">
        <w:t xml:space="preserve">Ministru prezidenta biedrs, </w:t>
      </w:r>
    </w:p>
    <w:p w14:paraId="00A62641" w14:textId="77777777" w:rsidR="00C65C2E" w:rsidRPr="003B11A6" w:rsidRDefault="00C65C2E" w:rsidP="005704E4">
      <w:pPr>
        <w:tabs>
          <w:tab w:val="right" w:pos="9072"/>
        </w:tabs>
        <w:ind w:firstLine="0"/>
      </w:pPr>
      <w:r w:rsidRPr="003B11A6">
        <w:t>ekonomikas ministrs</w:t>
      </w:r>
      <w:r w:rsidRPr="003B11A6">
        <w:tab/>
        <w:t>A. Ašeradens</w:t>
      </w:r>
    </w:p>
    <w:p w14:paraId="01163068" w14:textId="77777777" w:rsidR="00C65C2E" w:rsidRPr="003B11A6" w:rsidRDefault="00C65C2E" w:rsidP="005704E4">
      <w:pPr>
        <w:ind w:firstLine="0"/>
      </w:pPr>
    </w:p>
    <w:p w14:paraId="4B4BC060" w14:textId="77777777" w:rsidR="00C65C2E" w:rsidRPr="003B11A6" w:rsidRDefault="00C65C2E" w:rsidP="005704E4">
      <w:pPr>
        <w:tabs>
          <w:tab w:val="right" w:pos="8931"/>
        </w:tabs>
        <w:ind w:firstLine="0"/>
      </w:pPr>
      <w:r w:rsidRPr="003B11A6">
        <w:t>Vīza:</w:t>
      </w:r>
    </w:p>
    <w:p w14:paraId="342009DD" w14:textId="77777777" w:rsidR="00A418B3" w:rsidRPr="003B11A6" w:rsidRDefault="00A418B3" w:rsidP="002E0D48">
      <w:pPr>
        <w:tabs>
          <w:tab w:val="right" w:pos="9071"/>
        </w:tabs>
        <w:spacing w:after="0"/>
        <w:ind w:firstLine="0"/>
      </w:pPr>
      <w:r w:rsidRPr="003B11A6">
        <w:t>Valsts sekretār</w:t>
      </w:r>
      <w:r w:rsidR="00226A49" w:rsidRPr="003B11A6">
        <w:t>s</w:t>
      </w:r>
      <w:r w:rsidR="00226A49" w:rsidRPr="003B11A6">
        <w:tab/>
      </w:r>
      <w:r w:rsidR="00503097" w:rsidRPr="003B11A6">
        <w:t>Ē.Eglītis</w:t>
      </w:r>
    </w:p>
    <w:p w14:paraId="4C272C7D" w14:textId="77777777" w:rsidR="00C65C2E" w:rsidRPr="003B11A6" w:rsidRDefault="00C65C2E" w:rsidP="005704E4">
      <w:pPr>
        <w:ind w:firstLine="0"/>
      </w:pPr>
    </w:p>
    <w:p w14:paraId="15E2A303" w14:textId="77777777" w:rsidR="00950438" w:rsidRPr="003B11A6" w:rsidRDefault="00950438" w:rsidP="005704E4">
      <w:pPr>
        <w:ind w:firstLine="0"/>
      </w:pPr>
    </w:p>
    <w:p w14:paraId="32945746" w14:textId="09203968" w:rsidR="00C65C2E" w:rsidRPr="003B11A6" w:rsidRDefault="00CD5A61" w:rsidP="005704E4">
      <w:pPr>
        <w:spacing w:after="0"/>
        <w:ind w:firstLine="0"/>
      </w:pPr>
      <w:r>
        <w:t>21</w:t>
      </w:r>
      <w:r w:rsidR="00A0648A" w:rsidRPr="003B11A6">
        <w:t>.</w:t>
      </w:r>
      <w:r w:rsidR="009E0ACC" w:rsidRPr="003B11A6">
        <w:t>0</w:t>
      </w:r>
      <w:r w:rsidR="00503097" w:rsidRPr="003B11A6">
        <w:t>5</w:t>
      </w:r>
      <w:r w:rsidR="009E0ACC" w:rsidRPr="003B11A6">
        <w:t>.2018</w:t>
      </w:r>
      <w:r w:rsidR="00C65C2E" w:rsidRPr="003B11A6">
        <w:t xml:space="preserve">. </w:t>
      </w:r>
    </w:p>
    <w:p w14:paraId="7FE4E035" w14:textId="60F20BE5" w:rsidR="00C65C2E" w:rsidRPr="003B11A6" w:rsidRDefault="00CD5A61" w:rsidP="005704E4">
      <w:pPr>
        <w:spacing w:after="0"/>
        <w:ind w:firstLine="0"/>
      </w:pPr>
      <w:r>
        <w:t>3802</w:t>
      </w:r>
      <w:bookmarkStart w:id="0" w:name="_GoBack"/>
      <w:bookmarkEnd w:id="0"/>
    </w:p>
    <w:p w14:paraId="0A7A51E9" w14:textId="77777777" w:rsidR="00622415" w:rsidRPr="003B11A6" w:rsidRDefault="00642F24" w:rsidP="005704E4">
      <w:pPr>
        <w:tabs>
          <w:tab w:val="left" w:pos="7230"/>
        </w:tabs>
        <w:spacing w:after="0"/>
        <w:ind w:firstLine="0"/>
      </w:pPr>
      <w:r w:rsidRPr="003B11A6">
        <w:t>M</w:t>
      </w:r>
      <w:r w:rsidR="00622415" w:rsidRPr="003B11A6">
        <w:t>.</w:t>
      </w:r>
      <w:r w:rsidRPr="003B11A6">
        <w:t>Rone</w:t>
      </w:r>
    </w:p>
    <w:p w14:paraId="11A5067A" w14:textId="77777777" w:rsidR="007F593C" w:rsidRPr="003B11A6" w:rsidRDefault="00622415" w:rsidP="005704E4">
      <w:pPr>
        <w:tabs>
          <w:tab w:val="left" w:pos="7230"/>
        </w:tabs>
        <w:spacing w:after="0"/>
        <w:ind w:firstLine="0"/>
      </w:pPr>
      <w:r w:rsidRPr="003B11A6">
        <w:t>67013</w:t>
      </w:r>
      <w:r w:rsidR="00642F24" w:rsidRPr="003B11A6">
        <w:t>265</w:t>
      </w:r>
      <w:r w:rsidRPr="003B11A6">
        <w:t xml:space="preserve">, </w:t>
      </w:r>
      <w:r w:rsidR="00642F24" w:rsidRPr="003B11A6">
        <w:rPr>
          <w:u w:val="single"/>
        </w:rPr>
        <w:t>mara.rone</w:t>
      </w:r>
      <w:r w:rsidRPr="003B11A6">
        <w:rPr>
          <w:u w:val="single"/>
        </w:rPr>
        <w:t>@em.gov.lv</w:t>
      </w:r>
    </w:p>
    <w:sectPr w:rsidR="007F593C" w:rsidRPr="003B11A6" w:rsidSect="00E82941">
      <w:headerReference w:type="default" r:id="rId26"/>
      <w:footerReference w:type="default" r:id="rId2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D9264" w14:textId="77777777" w:rsidR="003F03EB" w:rsidRDefault="003F03EB" w:rsidP="00C65C2E">
      <w:r>
        <w:separator/>
      </w:r>
    </w:p>
  </w:endnote>
  <w:endnote w:type="continuationSeparator" w:id="0">
    <w:p w14:paraId="384FD300" w14:textId="77777777" w:rsidR="003F03EB" w:rsidRDefault="003F03EB" w:rsidP="00C65C2E">
      <w:r>
        <w:continuationSeparator/>
      </w:r>
    </w:p>
  </w:endnote>
  <w:endnote w:type="continuationNotice" w:id="1">
    <w:p w14:paraId="665CADFD" w14:textId="77777777" w:rsidR="003F03EB" w:rsidRDefault="003F03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758915"/>
      <w:docPartObj>
        <w:docPartGallery w:val="Page Numbers (Bottom of Page)"/>
        <w:docPartUnique/>
      </w:docPartObj>
    </w:sdtPr>
    <w:sdtEndPr>
      <w:rPr>
        <w:noProof/>
      </w:rPr>
    </w:sdtEndPr>
    <w:sdtContent>
      <w:p w14:paraId="56813F2F" w14:textId="77777777" w:rsidR="00717E43" w:rsidRPr="008557E5" w:rsidRDefault="00717E43" w:rsidP="00E82941">
        <w:pPr>
          <w:pStyle w:val="Header"/>
          <w:spacing w:before="120"/>
          <w:ind w:firstLine="0"/>
        </w:pPr>
        <w:r w:rsidRPr="00575AD6">
          <w:rPr>
            <w:sz w:val="20"/>
          </w:rPr>
          <w:t>EMzino_</w:t>
        </w:r>
        <w:r w:rsidR="008557E5">
          <w:rPr>
            <w:sz w:val="20"/>
          </w:rPr>
          <w:t>2805</w:t>
        </w:r>
        <w:r w:rsidR="009E0ACC">
          <w:rPr>
            <w:sz w:val="20"/>
          </w:rPr>
          <w:t>2018_</w:t>
        </w:r>
        <w:r w:rsidRPr="00575AD6">
          <w:rPr>
            <w:sz w:val="20"/>
          </w:rPr>
          <w:t>Konkuretspejas_padome; Informatīvais ziņojums par Eiropas Savienības Konk</w:t>
        </w:r>
        <w:r w:rsidR="009E0ACC">
          <w:rPr>
            <w:sz w:val="20"/>
          </w:rPr>
          <w:t>urētspējas ministru padomes 2018</w:t>
        </w:r>
        <w:r w:rsidRPr="00575AD6">
          <w:rPr>
            <w:sz w:val="20"/>
          </w:rPr>
          <w:t xml:space="preserve">. gada </w:t>
        </w:r>
        <w:r w:rsidR="008557E5">
          <w:rPr>
            <w:sz w:val="20"/>
          </w:rPr>
          <w:t>28.maija</w:t>
        </w:r>
        <w:r w:rsidRPr="00575AD6">
          <w:rPr>
            <w:sz w:val="20"/>
          </w:rPr>
          <w:t xml:space="preserve"> sanāksmē izskatāmajiem jautājumiem</w:t>
        </w:r>
      </w:p>
      <w:p w14:paraId="3761CC1C" w14:textId="071EE800" w:rsidR="00C65C2E" w:rsidRDefault="00C65C2E" w:rsidP="00E82941">
        <w:pPr>
          <w:pStyle w:val="Header"/>
          <w:ind w:firstLine="0"/>
          <w:jc w:val="right"/>
        </w:pPr>
        <w:r>
          <w:fldChar w:fldCharType="begin"/>
        </w:r>
        <w:r>
          <w:instrText xml:space="preserve"> PAGE   \* MERGEFORMAT </w:instrText>
        </w:r>
        <w:r>
          <w:fldChar w:fldCharType="separate"/>
        </w:r>
        <w:r w:rsidR="00A8117F">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1C1CF" w14:textId="77777777" w:rsidR="003F03EB" w:rsidRDefault="003F03EB" w:rsidP="00C65C2E">
      <w:r>
        <w:separator/>
      </w:r>
    </w:p>
  </w:footnote>
  <w:footnote w:type="continuationSeparator" w:id="0">
    <w:p w14:paraId="4E75FC83" w14:textId="77777777" w:rsidR="003F03EB" w:rsidRDefault="003F03EB" w:rsidP="00C65C2E">
      <w:r>
        <w:continuationSeparator/>
      </w:r>
    </w:p>
  </w:footnote>
  <w:footnote w:type="continuationNotice" w:id="1">
    <w:p w14:paraId="02D4ED63" w14:textId="77777777" w:rsidR="003F03EB" w:rsidRDefault="003F03EB">
      <w:pPr>
        <w:spacing w:after="0"/>
      </w:pPr>
    </w:p>
  </w:footnote>
  <w:footnote w:id="2">
    <w:p w14:paraId="45D47E86" w14:textId="77777777" w:rsidR="00067A38" w:rsidRPr="00E82599" w:rsidRDefault="00067A38" w:rsidP="00067A38">
      <w:pPr>
        <w:pStyle w:val="FootnoteText"/>
        <w:rPr>
          <w:lang w:val="lv-LV"/>
        </w:rPr>
      </w:pPr>
      <w:r>
        <w:rPr>
          <w:rStyle w:val="FootnoteReference"/>
        </w:rPr>
        <w:footnoteRef/>
      </w:r>
      <w:r>
        <w:rPr>
          <w:lang w:val="lv-LV"/>
        </w:rPr>
        <w:t>EP un Padomes 2008.gada 9.</w:t>
      </w:r>
      <w:r w:rsidRPr="00AC5726">
        <w:rPr>
          <w:lang w:val="lv-LV"/>
        </w:rPr>
        <w:t>jūlija Regula (EK) Nr. 764/2008, ar ko nosaka procedūras, lai dažus valstu tehniskos noteikumus piemērotu citā dalībvalstī likumīgi tirgotiem produktiem, un ar</w:t>
      </w:r>
      <w:r>
        <w:rPr>
          <w:lang w:val="lv-LV"/>
        </w:rPr>
        <w:t xml:space="preserve"> ko atceļ Lēmumu Nr. 3052/95/EK</w:t>
      </w:r>
      <w:r w:rsidRPr="00AC5726">
        <w:rPr>
          <w:lang w:val="lv-LV"/>
        </w:rPr>
        <w:t>: http://eur-lex.europa.eu/legal-content/LV/TXT/?uri=CELEX%3A32008R0764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B3CB" w14:textId="77777777" w:rsidR="00E82941" w:rsidRDefault="00E82941" w:rsidP="00E8294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9AE"/>
    <w:multiLevelType w:val="hybridMultilevel"/>
    <w:tmpl w:val="D466DCCC"/>
    <w:lvl w:ilvl="0" w:tplc="4DF2C3B0">
      <w:start w:val="1"/>
      <w:numFmt w:val="decimal"/>
      <w:pStyle w:val="Prrafodelista"/>
      <w:lvlText w:val="%1."/>
      <w:lvlJc w:val="left"/>
      <w:pPr>
        <w:tabs>
          <w:tab w:val="num" w:pos="720"/>
        </w:tabs>
        <w:ind w:left="720" w:hanging="360"/>
      </w:pPr>
      <w:rPr>
        <w:rFonts w:cs="Times New Roman" w:hint="default"/>
      </w:rPr>
    </w:lvl>
    <w:lvl w:ilvl="1" w:tplc="87A8C1E0">
      <w:start w:val="2"/>
      <w:numFmt w:val="bullet"/>
      <w:lvlText w:val="-"/>
      <w:lvlJc w:val="left"/>
      <w:pPr>
        <w:tabs>
          <w:tab w:val="num" w:pos="1440"/>
        </w:tabs>
        <w:ind w:left="1440" w:hanging="360"/>
      </w:pPr>
      <w:rPr>
        <w:rFonts w:ascii="Times New Roman" w:eastAsia="Times New Roman" w:hAnsi="Times New Roman" w:hint="default"/>
      </w:rPr>
    </w:lvl>
    <w:lvl w:ilvl="2" w:tplc="4BC05D28">
      <w:start w:val="1"/>
      <w:numFmt w:val="decimal"/>
      <w:lvlText w:val="%3)"/>
      <w:lvlJc w:val="left"/>
      <w:pPr>
        <w:tabs>
          <w:tab w:val="num" w:pos="2340"/>
        </w:tabs>
        <w:ind w:left="2340" w:hanging="360"/>
      </w:pPr>
      <w:rPr>
        <w:rFonts w:cs="Times New Roman" w:hint="default"/>
      </w:rPr>
    </w:lvl>
    <w:lvl w:ilvl="3" w:tplc="0426000F">
      <w:start w:val="1"/>
      <w:numFmt w:val="decimal"/>
      <w:lvlText w:val="%4."/>
      <w:lvlJc w:val="left"/>
      <w:pPr>
        <w:tabs>
          <w:tab w:val="num" w:pos="2520"/>
        </w:tabs>
        <w:ind w:left="2520" w:hanging="360"/>
      </w:pPr>
      <w:rPr>
        <w:rFonts w:cs="Times New Roman" w:hint="default"/>
      </w:rPr>
    </w:lvl>
    <w:lvl w:ilvl="4" w:tplc="4A3EB48A">
      <w:start w:val="1"/>
      <w:numFmt w:val="bullet"/>
      <w:lvlText w:val=""/>
      <w:lvlJc w:val="left"/>
      <w:pPr>
        <w:tabs>
          <w:tab w:val="num" w:pos="3807"/>
        </w:tabs>
        <w:ind w:left="3807" w:hanging="567"/>
      </w:pPr>
      <w:rPr>
        <w:rFonts w:ascii="Symbol" w:hAnsi="Symbol" w:hint="default"/>
        <w:sz w:val="20"/>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CC2D28"/>
    <w:multiLevelType w:val="hybridMultilevel"/>
    <w:tmpl w:val="C958CC90"/>
    <w:lvl w:ilvl="0" w:tplc="FD8462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E253526"/>
    <w:multiLevelType w:val="hybridMultilevel"/>
    <w:tmpl w:val="7B8E7D0C"/>
    <w:lvl w:ilvl="0" w:tplc="DA22D158">
      <w:start w:val="2018"/>
      <w:numFmt w:val="bullet"/>
      <w:lvlText w:val="─"/>
      <w:lvlJc w:val="left"/>
      <w:pPr>
        <w:ind w:left="927" w:hanging="360"/>
      </w:pPr>
      <w:rPr>
        <w:rFonts w:ascii="Calibri" w:eastAsiaTheme="minorHAnsi" w:hAnsi="Calibri"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22751B8C"/>
    <w:multiLevelType w:val="hybridMultilevel"/>
    <w:tmpl w:val="04466930"/>
    <w:lvl w:ilvl="0" w:tplc="DA22D158">
      <w:start w:val="2018"/>
      <w:numFmt w:val="bullet"/>
      <w:lvlText w:val="─"/>
      <w:lvlJc w:val="left"/>
      <w:pPr>
        <w:ind w:left="927" w:hanging="360"/>
      </w:pPr>
      <w:rPr>
        <w:rFonts w:ascii="Calibri" w:eastAsiaTheme="minorHAnsi" w:hAnsi="Calibri"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5" w15:restartNumberingAfterBreak="0">
    <w:nsid w:val="54213F83"/>
    <w:multiLevelType w:val="hybridMultilevel"/>
    <w:tmpl w:val="7966CB8A"/>
    <w:lvl w:ilvl="0" w:tplc="DA22D158">
      <w:start w:val="2018"/>
      <w:numFmt w:val="bullet"/>
      <w:lvlText w:val="─"/>
      <w:lvlJc w:val="left"/>
      <w:pPr>
        <w:ind w:left="927" w:hanging="360"/>
      </w:pPr>
      <w:rPr>
        <w:rFonts w:ascii="Calibri" w:eastAsiaTheme="minorHAnsi" w:hAnsi="Calibri"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63D07FB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966329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DE124A2"/>
    <w:multiLevelType w:val="hybridMultilevel"/>
    <w:tmpl w:val="2E5A8058"/>
    <w:lvl w:ilvl="0" w:tplc="DA22D158">
      <w:start w:val="2018"/>
      <w:numFmt w:val="bullet"/>
      <w:lvlText w:val="─"/>
      <w:lvlJc w:val="left"/>
      <w:pPr>
        <w:ind w:left="927" w:hanging="360"/>
      </w:pPr>
      <w:rPr>
        <w:rFonts w:ascii="Calibri" w:eastAsiaTheme="minorHAnsi" w:hAnsi="Calibri"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3"/>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FD"/>
    <w:rsid w:val="00001F55"/>
    <w:rsid w:val="00002D26"/>
    <w:rsid w:val="0000388E"/>
    <w:rsid w:val="00006EB7"/>
    <w:rsid w:val="00010974"/>
    <w:rsid w:val="00024BE6"/>
    <w:rsid w:val="00030014"/>
    <w:rsid w:val="00034FD6"/>
    <w:rsid w:val="00036ADF"/>
    <w:rsid w:val="000379D3"/>
    <w:rsid w:val="000442B9"/>
    <w:rsid w:val="000510F6"/>
    <w:rsid w:val="00055B42"/>
    <w:rsid w:val="0006151F"/>
    <w:rsid w:val="00067A38"/>
    <w:rsid w:val="00072DD8"/>
    <w:rsid w:val="00076E90"/>
    <w:rsid w:val="00077601"/>
    <w:rsid w:val="00077C15"/>
    <w:rsid w:val="00084271"/>
    <w:rsid w:val="00085098"/>
    <w:rsid w:val="00087137"/>
    <w:rsid w:val="000873F9"/>
    <w:rsid w:val="00087BFF"/>
    <w:rsid w:val="0009394F"/>
    <w:rsid w:val="0009574E"/>
    <w:rsid w:val="00097AE2"/>
    <w:rsid w:val="000B273C"/>
    <w:rsid w:val="000C29FD"/>
    <w:rsid w:val="000D5588"/>
    <w:rsid w:val="000D62AE"/>
    <w:rsid w:val="000E3EE7"/>
    <w:rsid w:val="000E6824"/>
    <w:rsid w:val="000F2E13"/>
    <w:rsid w:val="000F5D5C"/>
    <w:rsid w:val="000F6268"/>
    <w:rsid w:val="00103145"/>
    <w:rsid w:val="0011276E"/>
    <w:rsid w:val="00127F7A"/>
    <w:rsid w:val="001339E7"/>
    <w:rsid w:val="00137DD5"/>
    <w:rsid w:val="00141852"/>
    <w:rsid w:val="00153D60"/>
    <w:rsid w:val="0016355C"/>
    <w:rsid w:val="001638B2"/>
    <w:rsid w:val="00164401"/>
    <w:rsid w:val="00166BA6"/>
    <w:rsid w:val="00166F5D"/>
    <w:rsid w:val="00176B91"/>
    <w:rsid w:val="00180B51"/>
    <w:rsid w:val="00181542"/>
    <w:rsid w:val="00196A58"/>
    <w:rsid w:val="001A22E1"/>
    <w:rsid w:val="001A2487"/>
    <w:rsid w:val="001A4483"/>
    <w:rsid w:val="001C1246"/>
    <w:rsid w:val="001E1825"/>
    <w:rsid w:val="001E4A15"/>
    <w:rsid w:val="002007B9"/>
    <w:rsid w:val="0021287A"/>
    <w:rsid w:val="00213765"/>
    <w:rsid w:val="00216232"/>
    <w:rsid w:val="00217703"/>
    <w:rsid w:val="0021798A"/>
    <w:rsid w:val="002230AB"/>
    <w:rsid w:val="00223819"/>
    <w:rsid w:val="0022468E"/>
    <w:rsid w:val="00226A49"/>
    <w:rsid w:val="00233E52"/>
    <w:rsid w:val="00236796"/>
    <w:rsid w:val="0024180B"/>
    <w:rsid w:val="00244CBC"/>
    <w:rsid w:val="00246C9C"/>
    <w:rsid w:val="00247F14"/>
    <w:rsid w:val="00262D7B"/>
    <w:rsid w:val="00271E95"/>
    <w:rsid w:val="0027704C"/>
    <w:rsid w:val="002904D7"/>
    <w:rsid w:val="002925BC"/>
    <w:rsid w:val="00294CE6"/>
    <w:rsid w:val="00296F75"/>
    <w:rsid w:val="002B1FC9"/>
    <w:rsid w:val="002C6D92"/>
    <w:rsid w:val="002D3677"/>
    <w:rsid w:val="002D39DE"/>
    <w:rsid w:val="002E02A0"/>
    <w:rsid w:val="002E0D48"/>
    <w:rsid w:val="002F0216"/>
    <w:rsid w:val="002F251C"/>
    <w:rsid w:val="00304C38"/>
    <w:rsid w:val="00327C6E"/>
    <w:rsid w:val="00331EFF"/>
    <w:rsid w:val="00337E42"/>
    <w:rsid w:val="003450AE"/>
    <w:rsid w:val="00345204"/>
    <w:rsid w:val="00347D1B"/>
    <w:rsid w:val="00357CBB"/>
    <w:rsid w:val="00360573"/>
    <w:rsid w:val="003635ED"/>
    <w:rsid w:val="003709B5"/>
    <w:rsid w:val="00370E37"/>
    <w:rsid w:val="00382B8F"/>
    <w:rsid w:val="00384ED6"/>
    <w:rsid w:val="0038615C"/>
    <w:rsid w:val="003867A7"/>
    <w:rsid w:val="00387A7D"/>
    <w:rsid w:val="00393BE0"/>
    <w:rsid w:val="003A0F39"/>
    <w:rsid w:val="003B11A6"/>
    <w:rsid w:val="003B5C8A"/>
    <w:rsid w:val="003C0C79"/>
    <w:rsid w:val="003C57B3"/>
    <w:rsid w:val="003C7D3B"/>
    <w:rsid w:val="003D2DD5"/>
    <w:rsid w:val="003D4406"/>
    <w:rsid w:val="003D766F"/>
    <w:rsid w:val="003E7ECA"/>
    <w:rsid w:val="003F03EB"/>
    <w:rsid w:val="003F2389"/>
    <w:rsid w:val="004077A5"/>
    <w:rsid w:val="004173AE"/>
    <w:rsid w:val="00424217"/>
    <w:rsid w:val="00432B1C"/>
    <w:rsid w:val="00451D1F"/>
    <w:rsid w:val="00483C86"/>
    <w:rsid w:val="00483FE0"/>
    <w:rsid w:val="004900E8"/>
    <w:rsid w:val="004912E1"/>
    <w:rsid w:val="00496D25"/>
    <w:rsid w:val="004A0C1E"/>
    <w:rsid w:val="004A363D"/>
    <w:rsid w:val="004A7182"/>
    <w:rsid w:val="004C1741"/>
    <w:rsid w:val="004C234B"/>
    <w:rsid w:val="004D307A"/>
    <w:rsid w:val="004D6D27"/>
    <w:rsid w:val="004E7259"/>
    <w:rsid w:val="004F3F43"/>
    <w:rsid w:val="0050237F"/>
    <w:rsid w:val="00503097"/>
    <w:rsid w:val="00515F3F"/>
    <w:rsid w:val="005216B4"/>
    <w:rsid w:val="00521C43"/>
    <w:rsid w:val="00522258"/>
    <w:rsid w:val="00523FA1"/>
    <w:rsid w:val="005377A0"/>
    <w:rsid w:val="005409D6"/>
    <w:rsid w:val="005511DC"/>
    <w:rsid w:val="005525F3"/>
    <w:rsid w:val="005672CC"/>
    <w:rsid w:val="005674D1"/>
    <w:rsid w:val="005704E4"/>
    <w:rsid w:val="00577B0A"/>
    <w:rsid w:val="00587BDB"/>
    <w:rsid w:val="00595F0F"/>
    <w:rsid w:val="00597855"/>
    <w:rsid w:val="005B630B"/>
    <w:rsid w:val="005C1E65"/>
    <w:rsid w:val="005C6FAD"/>
    <w:rsid w:val="005D3D42"/>
    <w:rsid w:val="005E05D5"/>
    <w:rsid w:val="005E2945"/>
    <w:rsid w:val="005E5776"/>
    <w:rsid w:val="005E59FD"/>
    <w:rsid w:val="005F4B1E"/>
    <w:rsid w:val="005F5217"/>
    <w:rsid w:val="00622415"/>
    <w:rsid w:val="00625453"/>
    <w:rsid w:val="006275E7"/>
    <w:rsid w:val="006402D7"/>
    <w:rsid w:val="00641E5B"/>
    <w:rsid w:val="00642F24"/>
    <w:rsid w:val="00645B0F"/>
    <w:rsid w:val="00651D2A"/>
    <w:rsid w:val="00656987"/>
    <w:rsid w:val="00682D1B"/>
    <w:rsid w:val="00696015"/>
    <w:rsid w:val="00696ECC"/>
    <w:rsid w:val="006A17A1"/>
    <w:rsid w:val="006A496F"/>
    <w:rsid w:val="006A7C0E"/>
    <w:rsid w:val="006B3525"/>
    <w:rsid w:val="006C3957"/>
    <w:rsid w:val="006C4E42"/>
    <w:rsid w:val="006F3230"/>
    <w:rsid w:val="006F343C"/>
    <w:rsid w:val="006F4E16"/>
    <w:rsid w:val="00700B95"/>
    <w:rsid w:val="0070163D"/>
    <w:rsid w:val="00702C29"/>
    <w:rsid w:val="00703924"/>
    <w:rsid w:val="00705CC4"/>
    <w:rsid w:val="00713E65"/>
    <w:rsid w:val="00717E43"/>
    <w:rsid w:val="00725761"/>
    <w:rsid w:val="007278BE"/>
    <w:rsid w:val="007435C1"/>
    <w:rsid w:val="00751DB8"/>
    <w:rsid w:val="007522AE"/>
    <w:rsid w:val="00753EBD"/>
    <w:rsid w:val="00765131"/>
    <w:rsid w:val="00775367"/>
    <w:rsid w:val="007801E6"/>
    <w:rsid w:val="007816DD"/>
    <w:rsid w:val="00792ACC"/>
    <w:rsid w:val="00796E81"/>
    <w:rsid w:val="007971E3"/>
    <w:rsid w:val="007B5060"/>
    <w:rsid w:val="007C1A22"/>
    <w:rsid w:val="007C5125"/>
    <w:rsid w:val="007D0CAA"/>
    <w:rsid w:val="007E1396"/>
    <w:rsid w:val="007E5369"/>
    <w:rsid w:val="007F01F8"/>
    <w:rsid w:val="007F37DA"/>
    <w:rsid w:val="007F5591"/>
    <w:rsid w:val="007F593C"/>
    <w:rsid w:val="007F7B80"/>
    <w:rsid w:val="00802FD6"/>
    <w:rsid w:val="00803714"/>
    <w:rsid w:val="00804977"/>
    <w:rsid w:val="00804FFF"/>
    <w:rsid w:val="008059FC"/>
    <w:rsid w:val="0081639A"/>
    <w:rsid w:val="008305D7"/>
    <w:rsid w:val="00832120"/>
    <w:rsid w:val="008405BF"/>
    <w:rsid w:val="00845334"/>
    <w:rsid w:val="00845B8B"/>
    <w:rsid w:val="00850F68"/>
    <w:rsid w:val="008557E5"/>
    <w:rsid w:val="00857948"/>
    <w:rsid w:val="008634FC"/>
    <w:rsid w:val="00866B36"/>
    <w:rsid w:val="00870E6A"/>
    <w:rsid w:val="0087389A"/>
    <w:rsid w:val="00875D13"/>
    <w:rsid w:val="0088378A"/>
    <w:rsid w:val="00883E33"/>
    <w:rsid w:val="008871C6"/>
    <w:rsid w:val="00893323"/>
    <w:rsid w:val="008966C4"/>
    <w:rsid w:val="008A433C"/>
    <w:rsid w:val="008A659F"/>
    <w:rsid w:val="008B0A2B"/>
    <w:rsid w:val="008B233C"/>
    <w:rsid w:val="008B6BA5"/>
    <w:rsid w:val="008B6E6F"/>
    <w:rsid w:val="008C2AEA"/>
    <w:rsid w:val="008C6EAB"/>
    <w:rsid w:val="008D22FE"/>
    <w:rsid w:val="008D443F"/>
    <w:rsid w:val="008E3678"/>
    <w:rsid w:val="008E4CA1"/>
    <w:rsid w:val="00920BF1"/>
    <w:rsid w:val="0092389D"/>
    <w:rsid w:val="0092522A"/>
    <w:rsid w:val="00935C46"/>
    <w:rsid w:val="00940DF4"/>
    <w:rsid w:val="00947C99"/>
    <w:rsid w:val="00950438"/>
    <w:rsid w:val="00970FC4"/>
    <w:rsid w:val="00977BDF"/>
    <w:rsid w:val="009952D4"/>
    <w:rsid w:val="009B51B2"/>
    <w:rsid w:val="009C6E54"/>
    <w:rsid w:val="009D327D"/>
    <w:rsid w:val="009E0ACC"/>
    <w:rsid w:val="009E1B87"/>
    <w:rsid w:val="009E6A07"/>
    <w:rsid w:val="009E7D31"/>
    <w:rsid w:val="009F042F"/>
    <w:rsid w:val="00A0648A"/>
    <w:rsid w:val="00A249DD"/>
    <w:rsid w:val="00A24E21"/>
    <w:rsid w:val="00A344DF"/>
    <w:rsid w:val="00A40642"/>
    <w:rsid w:val="00A418B3"/>
    <w:rsid w:val="00A43C5E"/>
    <w:rsid w:val="00A50CE1"/>
    <w:rsid w:val="00A512AE"/>
    <w:rsid w:val="00A51CF8"/>
    <w:rsid w:val="00A52E9E"/>
    <w:rsid w:val="00A53F68"/>
    <w:rsid w:val="00A73F96"/>
    <w:rsid w:val="00A77BCE"/>
    <w:rsid w:val="00A8117F"/>
    <w:rsid w:val="00AB2522"/>
    <w:rsid w:val="00AC12EB"/>
    <w:rsid w:val="00AC4F22"/>
    <w:rsid w:val="00AE4F2E"/>
    <w:rsid w:val="00AE705E"/>
    <w:rsid w:val="00AF2AA2"/>
    <w:rsid w:val="00B008C9"/>
    <w:rsid w:val="00B01691"/>
    <w:rsid w:val="00B02E1B"/>
    <w:rsid w:val="00B03768"/>
    <w:rsid w:val="00B04B2C"/>
    <w:rsid w:val="00B16C22"/>
    <w:rsid w:val="00B24301"/>
    <w:rsid w:val="00B307C4"/>
    <w:rsid w:val="00B32691"/>
    <w:rsid w:val="00B40A14"/>
    <w:rsid w:val="00B45EA6"/>
    <w:rsid w:val="00B575D7"/>
    <w:rsid w:val="00B57A52"/>
    <w:rsid w:val="00B6011A"/>
    <w:rsid w:val="00B62DB1"/>
    <w:rsid w:val="00B64C61"/>
    <w:rsid w:val="00B6532C"/>
    <w:rsid w:val="00B819E6"/>
    <w:rsid w:val="00B93095"/>
    <w:rsid w:val="00B953C8"/>
    <w:rsid w:val="00BA2FAC"/>
    <w:rsid w:val="00BA4DDB"/>
    <w:rsid w:val="00BA770D"/>
    <w:rsid w:val="00BA7B7F"/>
    <w:rsid w:val="00BB2998"/>
    <w:rsid w:val="00BB6624"/>
    <w:rsid w:val="00BC6CF3"/>
    <w:rsid w:val="00BC7469"/>
    <w:rsid w:val="00BE50AD"/>
    <w:rsid w:val="00BE7F7F"/>
    <w:rsid w:val="00BF042C"/>
    <w:rsid w:val="00BF389E"/>
    <w:rsid w:val="00BF4A0E"/>
    <w:rsid w:val="00C07400"/>
    <w:rsid w:val="00C266A1"/>
    <w:rsid w:val="00C26CD7"/>
    <w:rsid w:val="00C3069E"/>
    <w:rsid w:val="00C31F0B"/>
    <w:rsid w:val="00C33C6B"/>
    <w:rsid w:val="00C35424"/>
    <w:rsid w:val="00C53F1D"/>
    <w:rsid w:val="00C5411A"/>
    <w:rsid w:val="00C60F0F"/>
    <w:rsid w:val="00C64447"/>
    <w:rsid w:val="00C65C2E"/>
    <w:rsid w:val="00C67F9E"/>
    <w:rsid w:val="00C727A3"/>
    <w:rsid w:val="00C81D94"/>
    <w:rsid w:val="00C82049"/>
    <w:rsid w:val="00C84463"/>
    <w:rsid w:val="00C86D2F"/>
    <w:rsid w:val="00C9421C"/>
    <w:rsid w:val="00C9477C"/>
    <w:rsid w:val="00CA5DBA"/>
    <w:rsid w:val="00CA6ED7"/>
    <w:rsid w:val="00CA7F39"/>
    <w:rsid w:val="00CB2678"/>
    <w:rsid w:val="00CD28AB"/>
    <w:rsid w:val="00CD4F04"/>
    <w:rsid w:val="00CD5A61"/>
    <w:rsid w:val="00CE119F"/>
    <w:rsid w:val="00CE5351"/>
    <w:rsid w:val="00CF25B0"/>
    <w:rsid w:val="00CF3879"/>
    <w:rsid w:val="00D10B8E"/>
    <w:rsid w:val="00D1417E"/>
    <w:rsid w:val="00D2087B"/>
    <w:rsid w:val="00D2315A"/>
    <w:rsid w:val="00D30B90"/>
    <w:rsid w:val="00D32119"/>
    <w:rsid w:val="00D35AC9"/>
    <w:rsid w:val="00D368B1"/>
    <w:rsid w:val="00D47A68"/>
    <w:rsid w:val="00D5156D"/>
    <w:rsid w:val="00D70357"/>
    <w:rsid w:val="00D723F9"/>
    <w:rsid w:val="00D768A6"/>
    <w:rsid w:val="00D771E1"/>
    <w:rsid w:val="00D775AF"/>
    <w:rsid w:val="00D800C0"/>
    <w:rsid w:val="00D81D18"/>
    <w:rsid w:val="00D96557"/>
    <w:rsid w:val="00DB73CF"/>
    <w:rsid w:val="00DC25F6"/>
    <w:rsid w:val="00DC469C"/>
    <w:rsid w:val="00DF03B0"/>
    <w:rsid w:val="00E0139D"/>
    <w:rsid w:val="00E022FF"/>
    <w:rsid w:val="00E05CD0"/>
    <w:rsid w:val="00E07601"/>
    <w:rsid w:val="00E11B3C"/>
    <w:rsid w:val="00E13D80"/>
    <w:rsid w:val="00E23336"/>
    <w:rsid w:val="00E34CF4"/>
    <w:rsid w:val="00E408E5"/>
    <w:rsid w:val="00E426C8"/>
    <w:rsid w:val="00E430B6"/>
    <w:rsid w:val="00E4634B"/>
    <w:rsid w:val="00E579E3"/>
    <w:rsid w:val="00E60B29"/>
    <w:rsid w:val="00E73BF2"/>
    <w:rsid w:val="00E7660F"/>
    <w:rsid w:val="00E82941"/>
    <w:rsid w:val="00E84AE9"/>
    <w:rsid w:val="00E87E92"/>
    <w:rsid w:val="00E9491E"/>
    <w:rsid w:val="00E957E7"/>
    <w:rsid w:val="00E96672"/>
    <w:rsid w:val="00E97894"/>
    <w:rsid w:val="00EA31F2"/>
    <w:rsid w:val="00EA371D"/>
    <w:rsid w:val="00EA7731"/>
    <w:rsid w:val="00EB29A3"/>
    <w:rsid w:val="00EB4E58"/>
    <w:rsid w:val="00EC3188"/>
    <w:rsid w:val="00ED0F6B"/>
    <w:rsid w:val="00ED1D18"/>
    <w:rsid w:val="00EE452B"/>
    <w:rsid w:val="00EE57EA"/>
    <w:rsid w:val="00EF3C12"/>
    <w:rsid w:val="00F003A9"/>
    <w:rsid w:val="00F011D4"/>
    <w:rsid w:val="00F123C9"/>
    <w:rsid w:val="00F13B57"/>
    <w:rsid w:val="00F152C1"/>
    <w:rsid w:val="00F17491"/>
    <w:rsid w:val="00F1788C"/>
    <w:rsid w:val="00F360E6"/>
    <w:rsid w:val="00F37FD9"/>
    <w:rsid w:val="00F43256"/>
    <w:rsid w:val="00F57EDF"/>
    <w:rsid w:val="00F62A6E"/>
    <w:rsid w:val="00F745BE"/>
    <w:rsid w:val="00F8162D"/>
    <w:rsid w:val="00FA3923"/>
    <w:rsid w:val="00FA3B38"/>
    <w:rsid w:val="00FB4736"/>
    <w:rsid w:val="00FB7C66"/>
    <w:rsid w:val="00FE64C9"/>
    <w:rsid w:val="00FF0DC9"/>
    <w:rsid w:val="00FF1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6E81"/>
    <w:pPr>
      <w:spacing w:after="120" w:line="240" w:lineRule="auto"/>
      <w:ind w:firstLine="567"/>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C7469"/>
    <w:pPr>
      <w:keepNext/>
      <w:numPr>
        <w:numId w:val="2"/>
      </w:numPr>
      <w:outlineLvl w:val="0"/>
    </w:pPr>
    <w:rPr>
      <w:b/>
      <w:bCs/>
      <w:color w:val="000000"/>
      <w:lang w:eastAsia="x-none"/>
    </w:rPr>
  </w:style>
  <w:style w:type="paragraph" w:styleId="Heading2">
    <w:name w:val="heading 2"/>
    <w:basedOn w:val="Normal"/>
    <w:next w:val="Normal"/>
    <w:link w:val="Heading2Char"/>
    <w:qFormat/>
    <w:rsid w:val="00BC7469"/>
    <w:pPr>
      <w:keepNext/>
      <w:numPr>
        <w:ilvl w:val="1"/>
        <w:numId w:val="2"/>
      </w:numPr>
      <w:outlineLvl w:val="1"/>
    </w:pPr>
    <w:rPr>
      <w:b/>
      <w:bCs/>
      <w:lang w:eastAsia="x-none"/>
    </w:rPr>
  </w:style>
  <w:style w:type="paragraph" w:styleId="Heading3">
    <w:name w:val="heading 3"/>
    <w:basedOn w:val="Normal"/>
    <w:next w:val="Normal"/>
    <w:link w:val="Heading3Char"/>
    <w:qFormat/>
    <w:rsid w:val="00BC7469"/>
    <w:pPr>
      <w:keepNext/>
      <w:numPr>
        <w:ilvl w:val="2"/>
        <w:numId w:val="2"/>
      </w:numPr>
      <w:outlineLvl w:val="2"/>
    </w:pPr>
    <w:rPr>
      <w:color w:val="000000"/>
      <w:u w:val="single"/>
      <w:lang w:eastAsia="x-none"/>
    </w:rPr>
  </w:style>
  <w:style w:type="paragraph" w:styleId="Heading4">
    <w:name w:val="heading 4"/>
    <w:basedOn w:val="Normal"/>
    <w:next w:val="Normal"/>
    <w:link w:val="Heading4Char"/>
    <w:qFormat/>
    <w:rsid w:val="00BC7469"/>
    <w:pPr>
      <w:keepNext/>
      <w:numPr>
        <w:ilvl w:val="3"/>
        <w:numId w:val="2"/>
      </w:numPr>
      <w:outlineLvl w:val="3"/>
    </w:pPr>
    <w:rPr>
      <w:u w:val="single"/>
      <w:lang w:eastAsia="x-none"/>
    </w:rPr>
  </w:style>
  <w:style w:type="paragraph" w:styleId="Heading5">
    <w:name w:val="heading 5"/>
    <w:basedOn w:val="Normal"/>
    <w:next w:val="Normal"/>
    <w:link w:val="Heading5Char"/>
    <w:qFormat/>
    <w:rsid w:val="00BC7469"/>
    <w:pPr>
      <w:keepNext/>
      <w:numPr>
        <w:ilvl w:val="4"/>
        <w:numId w:val="2"/>
      </w:numPr>
      <w:outlineLvl w:val="4"/>
    </w:pPr>
    <w:rPr>
      <w:b/>
      <w:bCs/>
      <w:sz w:val="26"/>
      <w:szCs w:val="26"/>
      <w:lang w:eastAsia="x-none"/>
    </w:rPr>
  </w:style>
  <w:style w:type="paragraph" w:styleId="Heading6">
    <w:name w:val="heading 6"/>
    <w:basedOn w:val="Normal"/>
    <w:next w:val="Normal"/>
    <w:link w:val="Heading6Char"/>
    <w:qFormat/>
    <w:rsid w:val="00BC7469"/>
    <w:pPr>
      <w:keepNext/>
      <w:numPr>
        <w:ilvl w:val="5"/>
        <w:numId w:val="2"/>
      </w:numPr>
      <w:jc w:val="right"/>
      <w:outlineLvl w:val="5"/>
    </w:pPr>
    <w:rPr>
      <w:b/>
      <w:bCs/>
      <w:i/>
      <w:iCs/>
      <w:sz w:val="28"/>
      <w:szCs w:val="28"/>
      <w:lang w:eastAsia="x-none"/>
    </w:rPr>
  </w:style>
  <w:style w:type="paragraph" w:styleId="Heading7">
    <w:name w:val="heading 7"/>
    <w:basedOn w:val="Normal"/>
    <w:next w:val="Normal"/>
    <w:link w:val="Heading7Char"/>
    <w:qFormat/>
    <w:rsid w:val="00BC7469"/>
    <w:pPr>
      <w:keepNext/>
      <w:numPr>
        <w:ilvl w:val="6"/>
        <w:numId w:val="2"/>
      </w:numPr>
      <w:outlineLvl w:val="6"/>
    </w:pPr>
    <w:rPr>
      <w:b/>
      <w:bCs/>
      <w:color w:val="339966"/>
      <w:lang w:eastAsia="x-none"/>
    </w:rPr>
  </w:style>
  <w:style w:type="paragraph" w:styleId="Heading8">
    <w:name w:val="heading 8"/>
    <w:basedOn w:val="Normal"/>
    <w:next w:val="Normal"/>
    <w:link w:val="Heading8Char"/>
    <w:qFormat/>
    <w:rsid w:val="00BC7469"/>
    <w:pPr>
      <w:keepNext/>
      <w:numPr>
        <w:ilvl w:val="7"/>
        <w:numId w:val="2"/>
      </w:numPr>
      <w:outlineLvl w:val="7"/>
    </w:pPr>
    <w:rPr>
      <w:b/>
      <w:bCs/>
      <w:i/>
      <w:iCs/>
      <w:sz w:val="28"/>
      <w:szCs w:val="28"/>
      <w:lang w:eastAsia="x-none"/>
    </w:rPr>
  </w:style>
  <w:style w:type="paragraph" w:styleId="Heading9">
    <w:name w:val="heading 9"/>
    <w:basedOn w:val="Normal"/>
    <w:next w:val="Normal"/>
    <w:link w:val="Heading9Char"/>
    <w:qFormat/>
    <w:rsid w:val="00BC7469"/>
    <w:pPr>
      <w:keepNext/>
      <w:numPr>
        <w:ilvl w:val="8"/>
        <w:numId w:val="2"/>
      </w:numPr>
      <w:outlineLvl w:val="8"/>
    </w:pPr>
    <w:rPr>
      <w:b/>
      <w:bCs/>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5E59FD"/>
    <w:pPr>
      <w:jc w:val="center"/>
    </w:pPr>
    <w:rPr>
      <w:b/>
      <w:szCs w:val="20"/>
      <w:lang w:eastAsia="en-US"/>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sid w:val="005E59FD"/>
    <w:rPr>
      <w:rFonts w:ascii="Times New Roman" w:eastAsia="Times New Roman" w:hAnsi="Times New Roman" w:cs="Times New Roman"/>
      <w:b/>
      <w:sz w:val="24"/>
      <w:szCs w:val="20"/>
    </w:rPr>
  </w:style>
  <w:style w:type="paragraph" w:customStyle="1" w:styleId="DashEqual1">
    <w:name w:val="Dash Equal 1"/>
    <w:basedOn w:val="Normal"/>
    <w:rsid w:val="007F593C"/>
    <w:pPr>
      <w:numPr>
        <w:numId w:val="1"/>
      </w:numPr>
    </w:pPr>
    <w:rPr>
      <w:rFonts w:eastAsiaTheme="minorHAnsi"/>
      <w:lang w:val="en-US" w:eastAsia="en-US"/>
    </w:rPr>
  </w:style>
  <w:style w:type="paragraph" w:styleId="ListParagraph">
    <w:name w:val="List Paragraph"/>
    <w:aliases w:val="2,Strip,Numbered Para 1,Dot pt,No Spacing1,List Paragraph Char Char Char,Indicator Text,List Paragraph1,Bullet 1,Bullet Points,MAIN CONTENT,IFCL - List Paragraph,List Paragraph12,OBC Bullet,F5 List Paragraph,Colorful List - Accent 11,Bull"/>
    <w:basedOn w:val="Normal"/>
    <w:link w:val="ListParagraphChar"/>
    <w:uiPriority w:val="34"/>
    <w:qFormat/>
    <w:rsid w:val="007F593C"/>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1 Char,Bullet Points Char,MAIN CONTENT Char,IFCL - List Paragraph Char,Bull Char"/>
    <w:link w:val="ListParagraph"/>
    <w:uiPriority w:val="34"/>
    <w:qFormat/>
    <w:locked/>
    <w:rsid w:val="00C65C2E"/>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C65C2E"/>
    <w:pPr>
      <w:tabs>
        <w:tab w:val="center" w:pos="4153"/>
        <w:tab w:val="right" w:pos="8306"/>
      </w:tabs>
    </w:pPr>
  </w:style>
  <w:style w:type="character" w:customStyle="1" w:styleId="HeaderChar">
    <w:name w:val="Header Char"/>
    <w:basedOn w:val="DefaultParagraphFont"/>
    <w:link w:val="Header"/>
    <w:uiPriority w:val="99"/>
    <w:rsid w:val="00C65C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5C2E"/>
    <w:pPr>
      <w:tabs>
        <w:tab w:val="center" w:pos="4153"/>
        <w:tab w:val="right" w:pos="8306"/>
      </w:tabs>
    </w:pPr>
  </w:style>
  <w:style w:type="character" w:customStyle="1" w:styleId="FooterChar">
    <w:name w:val="Footer Char"/>
    <w:basedOn w:val="DefaultParagraphFont"/>
    <w:link w:val="Footer"/>
    <w:uiPriority w:val="99"/>
    <w:rsid w:val="00C65C2E"/>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010974"/>
    <w:pPr>
      <w:spacing w:line="480" w:lineRule="auto"/>
    </w:pPr>
  </w:style>
  <w:style w:type="character" w:customStyle="1" w:styleId="BodyText2Char">
    <w:name w:val="Body Text 2 Char"/>
    <w:basedOn w:val="DefaultParagraphFont"/>
    <w:link w:val="BodyText2"/>
    <w:uiPriority w:val="99"/>
    <w:semiHidden/>
    <w:rsid w:val="00010974"/>
    <w:rPr>
      <w:rFonts w:ascii="Times New Roman" w:eastAsia="Times New Roman" w:hAnsi="Times New Roman" w:cs="Times New Roman"/>
      <w:sz w:val="24"/>
      <w:szCs w:val="24"/>
      <w:lang w:eastAsia="lv-LV"/>
    </w:rPr>
  </w:style>
  <w:style w:type="character" w:styleId="Hyperlink">
    <w:name w:val="Hyperlink"/>
    <w:uiPriority w:val="99"/>
    <w:rsid w:val="009C6E54"/>
    <w:rPr>
      <w:color w:val="0000FF"/>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Char"/>
    <w:basedOn w:val="Normal"/>
    <w:link w:val="FootnoteTextChar"/>
    <w:qFormat/>
    <w:rsid w:val="009C6E54"/>
    <w:rPr>
      <w:sz w:val="20"/>
      <w:szCs w:val="20"/>
      <w:lang w:val="en-GB" w:eastAsia="en-US"/>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rsid w:val="009C6E54"/>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Footnote Reference Superscript,note TESI,Ref,de nota al pie,fr,SUPERS,Footnote number,o,Source Reference,number,Footnote reference number,-E Fußnotenzeichen,Times 10 Point,Exposant 3 Point"/>
    <w:link w:val="16Point"/>
    <w:qFormat/>
    <w:rsid w:val="009C6E54"/>
    <w:rPr>
      <w:vertAlign w:val="superscript"/>
    </w:rPr>
  </w:style>
  <w:style w:type="paragraph" w:styleId="NormalWeb">
    <w:name w:val="Normal (Web)"/>
    <w:basedOn w:val="Normal"/>
    <w:uiPriority w:val="99"/>
    <w:rsid w:val="00432B1C"/>
    <w:pPr>
      <w:spacing w:before="100" w:beforeAutospacing="1" w:after="100" w:afterAutospacing="1"/>
    </w:pPr>
    <w:rPr>
      <w:rFonts w:eastAsia="Arial Unicode MS"/>
      <w:lang w:val="en-GB" w:eastAsia="en-US"/>
    </w:rPr>
  </w:style>
  <w:style w:type="character" w:styleId="CommentReference">
    <w:name w:val="annotation reference"/>
    <w:basedOn w:val="DefaultParagraphFont"/>
    <w:uiPriority w:val="99"/>
    <w:semiHidden/>
    <w:unhideWhenUsed/>
    <w:rsid w:val="006B3525"/>
    <w:rPr>
      <w:sz w:val="16"/>
      <w:szCs w:val="16"/>
    </w:rPr>
  </w:style>
  <w:style w:type="paragraph" w:styleId="CommentText">
    <w:name w:val="annotation text"/>
    <w:basedOn w:val="Normal"/>
    <w:link w:val="CommentTextChar"/>
    <w:unhideWhenUsed/>
    <w:rsid w:val="006B3525"/>
    <w:rPr>
      <w:sz w:val="20"/>
      <w:szCs w:val="20"/>
    </w:rPr>
  </w:style>
  <w:style w:type="character" w:customStyle="1" w:styleId="CommentTextChar">
    <w:name w:val="Comment Text Char"/>
    <w:basedOn w:val="DefaultParagraphFont"/>
    <w:link w:val="CommentText"/>
    <w:rsid w:val="006B352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B3525"/>
    <w:rPr>
      <w:b/>
      <w:bCs/>
    </w:rPr>
  </w:style>
  <w:style w:type="character" w:customStyle="1" w:styleId="CommentSubjectChar">
    <w:name w:val="Comment Subject Char"/>
    <w:basedOn w:val="CommentTextChar"/>
    <w:link w:val="CommentSubject"/>
    <w:uiPriority w:val="99"/>
    <w:semiHidden/>
    <w:rsid w:val="006B352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B3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25"/>
    <w:rPr>
      <w:rFonts w:ascii="Segoe UI" w:eastAsia="Times New Roman" w:hAnsi="Segoe UI" w:cs="Segoe UI"/>
      <w:sz w:val="18"/>
      <w:szCs w:val="18"/>
      <w:lang w:eastAsia="lv-LV"/>
    </w:rPr>
  </w:style>
  <w:style w:type="paragraph" w:customStyle="1" w:styleId="BodyA">
    <w:name w:val="Body A"/>
    <w:rsid w:val="00424217"/>
    <w:pPr>
      <w:spacing w:before="120" w:after="120" w:line="360" w:lineRule="auto"/>
    </w:pPr>
    <w:rPr>
      <w:rFonts w:ascii="Helvetica" w:eastAsia="Arial Unicode MS" w:hAnsi="Helvetica" w:cs="Arial Unicode MS"/>
      <w:color w:val="000000"/>
      <w:u w:color="000000"/>
      <w:lang w:val="en-US" w:eastAsia="nl-NL"/>
    </w:rPr>
  </w:style>
  <w:style w:type="paragraph" w:customStyle="1" w:styleId="16Point">
    <w:name w:val="16 Point"/>
    <w:aliases w:val="Superscript 6 Point,Odwołanie przypisu,footnote ref,2001+ Fußnotenzeichen"/>
    <w:basedOn w:val="Normal"/>
    <w:link w:val="FootnoteReference"/>
    <w:rsid w:val="004A0C1E"/>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mt-translation1">
    <w:name w:val="mt-translation1"/>
    <w:basedOn w:val="Normal"/>
    <w:rsid w:val="00AC12EB"/>
    <w:rPr>
      <w:rFonts w:ascii="Segoe UI" w:hAnsi="Segoe UI" w:cs="Segoe UI"/>
      <w:sz w:val="22"/>
      <w:szCs w:val="22"/>
    </w:rPr>
  </w:style>
  <w:style w:type="character" w:customStyle="1" w:styleId="spelle">
    <w:name w:val="spelle"/>
    <w:basedOn w:val="DefaultParagraphFont"/>
    <w:rsid w:val="00BA770D"/>
  </w:style>
  <w:style w:type="character" w:customStyle="1" w:styleId="Heading1Char">
    <w:name w:val="Heading 1 Char"/>
    <w:basedOn w:val="DefaultParagraphFont"/>
    <w:link w:val="Heading1"/>
    <w:rsid w:val="00BC7469"/>
    <w:rPr>
      <w:rFonts w:ascii="Times New Roman" w:eastAsia="Times New Roman" w:hAnsi="Times New Roman" w:cs="Times New Roman"/>
      <w:b/>
      <w:bCs/>
      <w:color w:val="000000"/>
      <w:sz w:val="24"/>
      <w:szCs w:val="24"/>
      <w:lang w:eastAsia="x-none"/>
    </w:rPr>
  </w:style>
  <w:style w:type="character" w:customStyle="1" w:styleId="Heading2Char">
    <w:name w:val="Heading 2 Char"/>
    <w:basedOn w:val="DefaultParagraphFont"/>
    <w:link w:val="Heading2"/>
    <w:rsid w:val="00BC7469"/>
    <w:rPr>
      <w:rFonts w:ascii="Times New Roman" w:eastAsia="Times New Roman" w:hAnsi="Times New Roman" w:cs="Times New Roman"/>
      <w:b/>
      <w:bCs/>
      <w:sz w:val="24"/>
      <w:szCs w:val="24"/>
      <w:lang w:eastAsia="x-none"/>
    </w:rPr>
  </w:style>
  <w:style w:type="character" w:customStyle="1" w:styleId="Heading3Char">
    <w:name w:val="Heading 3 Char"/>
    <w:basedOn w:val="DefaultParagraphFont"/>
    <w:link w:val="Heading3"/>
    <w:rsid w:val="00BC7469"/>
    <w:rPr>
      <w:rFonts w:ascii="Times New Roman" w:eastAsia="Times New Roman" w:hAnsi="Times New Roman" w:cs="Times New Roman"/>
      <w:color w:val="000000"/>
      <w:sz w:val="24"/>
      <w:szCs w:val="24"/>
      <w:u w:val="single"/>
      <w:lang w:eastAsia="x-none"/>
    </w:rPr>
  </w:style>
  <w:style w:type="character" w:customStyle="1" w:styleId="Heading4Char">
    <w:name w:val="Heading 4 Char"/>
    <w:basedOn w:val="DefaultParagraphFont"/>
    <w:link w:val="Heading4"/>
    <w:rsid w:val="00BC7469"/>
    <w:rPr>
      <w:rFonts w:ascii="Times New Roman" w:eastAsia="Times New Roman" w:hAnsi="Times New Roman" w:cs="Times New Roman"/>
      <w:sz w:val="24"/>
      <w:szCs w:val="24"/>
      <w:u w:val="single"/>
      <w:lang w:eastAsia="x-none"/>
    </w:rPr>
  </w:style>
  <w:style w:type="character" w:customStyle="1" w:styleId="Heading5Char">
    <w:name w:val="Heading 5 Char"/>
    <w:basedOn w:val="DefaultParagraphFont"/>
    <w:link w:val="Heading5"/>
    <w:rsid w:val="00BC7469"/>
    <w:rPr>
      <w:rFonts w:ascii="Times New Roman" w:eastAsia="Times New Roman" w:hAnsi="Times New Roman" w:cs="Times New Roman"/>
      <w:b/>
      <w:bCs/>
      <w:sz w:val="26"/>
      <w:szCs w:val="26"/>
      <w:lang w:eastAsia="x-none"/>
    </w:rPr>
  </w:style>
  <w:style w:type="character" w:customStyle="1" w:styleId="Heading6Char">
    <w:name w:val="Heading 6 Char"/>
    <w:basedOn w:val="DefaultParagraphFont"/>
    <w:link w:val="Heading6"/>
    <w:rsid w:val="00BC7469"/>
    <w:rPr>
      <w:rFonts w:ascii="Times New Roman" w:eastAsia="Times New Roman" w:hAnsi="Times New Roman" w:cs="Times New Roman"/>
      <w:b/>
      <w:bCs/>
      <w:i/>
      <w:iCs/>
      <w:sz w:val="28"/>
      <w:szCs w:val="28"/>
      <w:lang w:eastAsia="x-none"/>
    </w:rPr>
  </w:style>
  <w:style w:type="character" w:customStyle="1" w:styleId="Heading7Char">
    <w:name w:val="Heading 7 Char"/>
    <w:basedOn w:val="DefaultParagraphFont"/>
    <w:link w:val="Heading7"/>
    <w:rsid w:val="00BC7469"/>
    <w:rPr>
      <w:rFonts w:ascii="Times New Roman" w:eastAsia="Times New Roman" w:hAnsi="Times New Roman" w:cs="Times New Roman"/>
      <w:b/>
      <w:bCs/>
      <w:color w:val="339966"/>
      <w:sz w:val="24"/>
      <w:szCs w:val="24"/>
      <w:lang w:eastAsia="x-none"/>
    </w:rPr>
  </w:style>
  <w:style w:type="character" w:customStyle="1" w:styleId="Heading8Char">
    <w:name w:val="Heading 8 Char"/>
    <w:basedOn w:val="DefaultParagraphFont"/>
    <w:link w:val="Heading8"/>
    <w:rsid w:val="00BC7469"/>
    <w:rPr>
      <w:rFonts w:ascii="Times New Roman" w:eastAsia="Times New Roman" w:hAnsi="Times New Roman" w:cs="Times New Roman"/>
      <w:b/>
      <w:bCs/>
      <w:i/>
      <w:iCs/>
      <w:sz w:val="28"/>
      <w:szCs w:val="28"/>
      <w:lang w:eastAsia="x-none"/>
    </w:rPr>
  </w:style>
  <w:style w:type="character" w:customStyle="1" w:styleId="Heading9Char">
    <w:name w:val="Heading 9 Char"/>
    <w:basedOn w:val="DefaultParagraphFont"/>
    <w:link w:val="Heading9"/>
    <w:rsid w:val="00BC7469"/>
    <w:rPr>
      <w:rFonts w:ascii="Times New Roman" w:eastAsia="Times New Roman" w:hAnsi="Times New Roman" w:cs="Times New Roman"/>
      <w:b/>
      <w:bCs/>
      <w:sz w:val="32"/>
      <w:szCs w:val="32"/>
      <w:lang w:eastAsia="x-none"/>
    </w:rPr>
  </w:style>
  <w:style w:type="paragraph" w:customStyle="1" w:styleId="Prrafodelista">
    <w:name w:val="Párrafo de lista"/>
    <w:basedOn w:val="Normal"/>
    <w:rsid w:val="00BC7469"/>
    <w:pPr>
      <w:numPr>
        <w:numId w:val="3"/>
      </w:numPr>
      <w:tabs>
        <w:tab w:val="clear" w:pos="720"/>
      </w:tabs>
      <w:spacing w:after="200" w:line="276" w:lineRule="auto"/>
      <w:ind w:firstLine="0"/>
      <w:contextualSpacing/>
    </w:pPr>
    <w:rPr>
      <w:rFonts w:ascii="Calibri" w:hAnsi="Calibri"/>
      <w:sz w:val="22"/>
      <w:szCs w:val="22"/>
      <w:lang w:val="es-ES" w:eastAsia="en-US"/>
    </w:rPr>
  </w:style>
  <w:style w:type="paragraph" w:customStyle="1" w:styleId="naisc">
    <w:name w:val="naisc"/>
    <w:basedOn w:val="Normal"/>
    <w:rsid w:val="00BB6624"/>
    <w:pPr>
      <w:spacing w:before="100" w:after="100"/>
    </w:pPr>
    <w:rPr>
      <w:lang w:val="en-GB"/>
    </w:rPr>
  </w:style>
  <w:style w:type="paragraph" w:styleId="Revision">
    <w:name w:val="Revision"/>
    <w:hidden/>
    <w:uiPriority w:val="99"/>
    <w:semiHidden/>
    <w:rsid w:val="009E7D31"/>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92A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Justified"/>
    <w:basedOn w:val="Normal"/>
    <w:rsid w:val="00BE7F7F"/>
    <w:pPr>
      <w:spacing w:before="200" w:line="360" w:lineRule="auto"/>
      <w:ind w:firstLine="0"/>
    </w:pPr>
    <w:rPr>
      <w:rFonts w:eastAsiaTheme="minorHAns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7415">
      <w:bodyDiv w:val="1"/>
      <w:marLeft w:val="0"/>
      <w:marRight w:val="0"/>
      <w:marTop w:val="0"/>
      <w:marBottom w:val="0"/>
      <w:divBdr>
        <w:top w:val="none" w:sz="0" w:space="0" w:color="auto"/>
        <w:left w:val="none" w:sz="0" w:space="0" w:color="auto"/>
        <w:bottom w:val="none" w:sz="0" w:space="0" w:color="auto"/>
        <w:right w:val="none" w:sz="0" w:space="0" w:color="auto"/>
      </w:divBdr>
    </w:div>
    <w:div w:id="158009328">
      <w:bodyDiv w:val="1"/>
      <w:marLeft w:val="0"/>
      <w:marRight w:val="0"/>
      <w:marTop w:val="0"/>
      <w:marBottom w:val="0"/>
      <w:divBdr>
        <w:top w:val="none" w:sz="0" w:space="0" w:color="auto"/>
        <w:left w:val="none" w:sz="0" w:space="0" w:color="auto"/>
        <w:bottom w:val="none" w:sz="0" w:space="0" w:color="auto"/>
        <w:right w:val="none" w:sz="0" w:space="0" w:color="auto"/>
      </w:divBdr>
    </w:div>
    <w:div w:id="243339177">
      <w:bodyDiv w:val="1"/>
      <w:marLeft w:val="0"/>
      <w:marRight w:val="0"/>
      <w:marTop w:val="0"/>
      <w:marBottom w:val="0"/>
      <w:divBdr>
        <w:top w:val="none" w:sz="0" w:space="0" w:color="auto"/>
        <w:left w:val="none" w:sz="0" w:space="0" w:color="auto"/>
        <w:bottom w:val="none" w:sz="0" w:space="0" w:color="auto"/>
        <w:right w:val="none" w:sz="0" w:space="0" w:color="auto"/>
      </w:divBdr>
    </w:div>
    <w:div w:id="276301564">
      <w:bodyDiv w:val="1"/>
      <w:marLeft w:val="0"/>
      <w:marRight w:val="0"/>
      <w:marTop w:val="0"/>
      <w:marBottom w:val="0"/>
      <w:divBdr>
        <w:top w:val="none" w:sz="0" w:space="0" w:color="auto"/>
        <w:left w:val="none" w:sz="0" w:space="0" w:color="auto"/>
        <w:bottom w:val="none" w:sz="0" w:space="0" w:color="auto"/>
        <w:right w:val="none" w:sz="0" w:space="0" w:color="auto"/>
      </w:divBdr>
    </w:div>
    <w:div w:id="311256987">
      <w:bodyDiv w:val="1"/>
      <w:marLeft w:val="0"/>
      <w:marRight w:val="0"/>
      <w:marTop w:val="0"/>
      <w:marBottom w:val="0"/>
      <w:divBdr>
        <w:top w:val="none" w:sz="0" w:space="0" w:color="auto"/>
        <w:left w:val="none" w:sz="0" w:space="0" w:color="auto"/>
        <w:bottom w:val="none" w:sz="0" w:space="0" w:color="auto"/>
        <w:right w:val="none" w:sz="0" w:space="0" w:color="auto"/>
      </w:divBdr>
    </w:div>
    <w:div w:id="336612777">
      <w:bodyDiv w:val="1"/>
      <w:marLeft w:val="0"/>
      <w:marRight w:val="0"/>
      <w:marTop w:val="0"/>
      <w:marBottom w:val="0"/>
      <w:divBdr>
        <w:top w:val="none" w:sz="0" w:space="0" w:color="auto"/>
        <w:left w:val="none" w:sz="0" w:space="0" w:color="auto"/>
        <w:bottom w:val="none" w:sz="0" w:space="0" w:color="auto"/>
        <w:right w:val="none" w:sz="0" w:space="0" w:color="auto"/>
      </w:divBdr>
    </w:div>
    <w:div w:id="525367686">
      <w:bodyDiv w:val="1"/>
      <w:marLeft w:val="0"/>
      <w:marRight w:val="0"/>
      <w:marTop w:val="0"/>
      <w:marBottom w:val="0"/>
      <w:divBdr>
        <w:top w:val="none" w:sz="0" w:space="0" w:color="auto"/>
        <w:left w:val="none" w:sz="0" w:space="0" w:color="auto"/>
        <w:bottom w:val="none" w:sz="0" w:space="0" w:color="auto"/>
        <w:right w:val="none" w:sz="0" w:space="0" w:color="auto"/>
      </w:divBdr>
    </w:div>
    <w:div w:id="552430444">
      <w:bodyDiv w:val="1"/>
      <w:marLeft w:val="0"/>
      <w:marRight w:val="0"/>
      <w:marTop w:val="0"/>
      <w:marBottom w:val="0"/>
      <w:divBdr>
        <w:top w:val="none" w:sz="0" w:space="0" w:color="auto"/>
        <w:left w:val="none" w:sz="0" w:space="0" w:color="auto"/>
        <w:bottom w:val="none" w:sz="0" w:space="0" w:color="auto"/>
        <w:right w:val="none" w:sz="0" w:space="0" w:color="auto"/>
      </w:divBdr>
    </w:div>
    <w:div w:id="729765344">
      <w:bodyDiv w:val="1"/>
      <w:marLeft w:val="0"/>
      <w:marRight w:val="0"/>
      <w:marTop w:val="0"/>
      <w:marBottom w:val="0"/>
      <w:divBdr>
        <w:top w:val="none" w:sz="0" w:space="0" w:color="auto"/>
        <w:left w:val="none" w:sz="0" w:space="0" w:color="auto"/>
        <w:bottom w:val="none" w:sz="0" w:space="0" w:color="auto"/>
        <w:right w:val="none" w:sz="0" w:space="0" w:color="auto"/>
      </w:divBdr>
    </w:div>
    <w:div w:id="799230390">
      <w:bodyDiv w:val="1"/>
      <w:marLeft w:val="0"/>
      <w:marRight w:val="0"/>
      <w:marTop w:val="0"/>
      <w:marBottom w:val="0"/>
      <w:divBdr>
        <w:top w:val="none" w:sz="0" w:space="0" w:color="auto"/>
        <w:left w:val="none" w:sz="0" w:space="0" w:color="auto"/>
        <w:bottom w:val="none" w:sz="0" w:space="0" w:color="auto"/>
        <w:right w:val="none" w:sz="0" w:space="0" w:color="auto"/>
      </w:divBdr>
    </w:div>
    <w:div w:id="819424666">
      <w:bodyDiv w:val="1"/>
      <w:marLeft w:val="0"/>
      <w:marRight w:val="0"/>
      <w:marTop w:val="0"/>
      <w:marBottom w:val="0"/>
      <w:divBdr>
        <w:top w:val="none" w:sz="0" w:space="0" w:color="auto"/>
        <w:left w:val="none" w:sz="0" w:space="0" w:color="auto"/>
        <w:bottom w:val="none" w:sz="0" w:space="0" w:color="auto"/>
        <w:right w:val="none" w:sz="0" w:space="0" w:color="auto"/>
      </w:divBdr>
    </w:div>
    <w:div w:id="842670617">
      <w:bodyDiv w:val="1"/>
      <w:marLeft w:val="0"/>
      <w:marRight w:val="0"/>
      <w:marTop w:val="0"/>
      <w:marBottom w:val="0"/>
      <w:divBdr>
        <w:top w:val="none" w:sz="0" w:space="0" w:color="auto"/>
        <w:left w:val="none" w:sz="0" w:space="0" w:color="auto"/>
        <w:bottom w:val="none" w:sz="0" w:space="0" w:color="auto"/>
        <w:right w:val="none" w:sz="0" w:space="0" w:color="auto"/>
      </w:divBdr>
    </w:div>
    <w:div w:id="911740125">
      <w:bodyDiv w:val="1"/>
      <w:marLeft w:val="0"/>
      <w:marRight w:val="0"/>
      <w:marTop w:val="0"/>
      <w:marBottom w:val="0"/>
      <w:divBdr>
        <w:top w:val="none" w:sz="0" w:space="0" w:color="auto"/>
        <w:left w:val="none" w:sz="0" w:space="0" w:color="auto"/>
        <w:bottom w:val="none" w:sz="0" w:space="0" w:color="auto"/>
        <w:right w:val="none" w:sz="0" w:space="0" w:color="auto"/>
      </w:divBdr>
    </w:div>
    <w:div w:id="951667492">
      <w:bodyDiv w:val="1"/>
      <w:marLeft w:val="0"/>
      <w:marRight w:val="0"/>
      <w:marTop w:val="0"/>
      <w:marBottom w:val="0"/>
      <w:divBdr>
        <w:top w:val="none" w:sz="0" w:space="0" w:color="auto"/>
        <w:left w:val="none" w:sz="0" w:space="0" w:color="auto"/>
        <w:bottom w:val="none" w:sz="0" w:space="0" w:color="auto"/>
        <w:right w:val="none" w:sz="0" w:space="0" w:color="auto"/>
      </w:divBdr>
    </w:div>
    <w:div w:id="1021857840">
      <w:bodyDiv w:val="1"/>
      <w:marLeft w:val="0"/>
      <w:marRight w:val="0"/>
      <w:marTop w:val="0"/>
      <w:marBottom w:val="0"/>
      <w:divBdr>
        <w:top w:val="none" w:sz="0" w:space="0" w:color="auto"/>
        <w:left w:val="none" w:sz="0" w:space="0" w:color="auto"/>
        <w:bottom w:val="none" w:sz="0" w:space="0" w:color="auto"/>
        <w:right w:val="none" w:sz="0" w:space="0" w:color="auto"/>
      </w:divBdr>
    </w:div>
    <w:div w:id="1073546352">
      <w:bodyDiv w:val="1"/>
      <w:marLeft w:val="0"/>
      <w:marRight w:val="0"/>
      <w:marTop w:val="0"/>
      <w:marBottom w:val="0"/>
      <w:divBdr>
        <w:top w:val="none" w:sz="0" w:space="0" w:color="auto"/>
        <w:left w:val="none" w:sz="0" w:space="0" w:color="auto"/>
        <w:bottom w:val="none" w:sz="0" w:space="0" w:color="auto"/>
        <w:right w:val="none" w:sz="0" w:space="0" w:color="auto"/>
      </w:divBdr>
    </w:div>
    <w:div w:id="1225289366">
      <w:bodyDiv w:val="1"/>
      <w:marLeft w:val="0"/>
      <w:marRight w:val="0"/>
      <w:marTop w:val="0"/>
      <w:marBottom w:val="0"/>
      <w:divBdr>
        <w:top w:val="none" w:sz="0" w:space="0" w:color="auto"/>
        <w:left w:val="none" w:sz="0" w:space="0" w:color="auto"/>
        <w:bottom w:val="none" w:sz="0" w:space="0" w:color="auto"/>
        <w:right w:val="none" w:sz="0" w:space="0" w:color="auto"/>
      </w:divBdr>
    </w:div>
    <w:div w:id="1370908785">
      <w:bodyDiv w:val="1"/>
      <w:marLeft w:val="0"/>
      <w:marRight w:val="0"/>
      <w:marTop w:val="0"/>
      <w:marBottom w:val="0"/>
      <w:divBdr>
        <w:top w:val="none" w:sz="0" w:space="0" w:color="auto"/>
        <w:left w:val="none" w:sz="0" w:space="0" w:color="auto"/>
        <w:bottom w:val="none" w:sz="0" w:space="0" w:color="auto"/>
        <w:right w:val="none" w:sz="0" w:space="0" w:color="auto"/>
      </w:divBdr>
    </w:div>
    <w:div w:id="1409420919">
      <w:bodyDiv w:val="1"/>
      <w:marLeft w:val="0"/>
      <w:marRight w:val="0"/>
      <w:marTop w:val="0"/>
      <w:marBottom w:val="0"/>
      <w:divBdr>
        <w:top w:val="none" w:sz="0" w:space="0" w:color="auto"/>
        <w:left w:val="none" w:sz="0" w:space="0" w:color="auto"/>
        <w:bottom w:val="none" w:sz="0" w:space="0" w:color="auto"/>
        <w:right w:val="none" w:sz="0" w:space="0" w:color="auto"/>
      </w:divBdr>
    </w:div>
    <w:div w:id="1522430036">
      <w:bodyDiv w:val="1"/>
      <w:marLeft w:val="0"/>
      <w:marRight w:val="0"/>
      <w:marTop w:val="0"/>
      <w:marBottom w:val="0"/>
      <w:divBdr>
        <w:top w:val="none" w:sz="0" w:space="0" w:color="auto"/>
        <w:left w:val="none" w:sz="0" w:space="0" w:color="auto"/>
        <w:bottom w:val="none" w:sz="0" w:space="0" w:color="auto"/>
        <w:right w:val="none" w:sz="0" w:space="0" w:color="auto"/>
      </w:divBdr>
    </w:div>
    <w:div w:id="1650863701">
      <w:bodyDiv w:val="1"/>
      <w:marLeft w:val="0"/>
      <w:marRight w:val="0"/>
      <w:marTop w:val="0"/>
      <w:marBottom w:val="0"/>
      <w:divBdr>
        <w:top w:val="none" w:sz="0" w:space="0" w:color="auto"/>
        <w:left w:val="none" w:sz="0" w:space="0" w:color="auto"/>
        <w:bottom w:val="none" w:sz="0" w:space="0" w:color="auto"/>
        <w:right w:val="none" w:sz="0" w:space="0" w:color="auto"/>
      </w:divBdr>
    </w:div>
    <w:div w:id="1665234637">
      <w:bodyDiv w:val="1"/>
      <w:marLeft w:val="0"/>
      <w:marRight w:val="0"/>
      <w:marTop w:val="0"/>
      <w:marBottom w:val="0"/>
      <w:divBdr>
        <w:top w:val="none" w:sz="0" w:space="0" w:color="auto"/>
        <w:left w:val="none" w:sz="0" w:space="0" w:color="auto"/>
        <w:bottom w:val="none" w:sz="0" w:space="0" w:color="auto"/>
        <w:right w:val="none" w:sz="0" w:space="0" w:color="auto"/>
      </w:divBdr>
    </w:div>
    <w:div w:id="1724207967">
      <w:bodyDiv w:val="1"/>
      <w:marLeft w:val="0"/>
      <w:marRight w:val="0"/>
      <w:marTop w:val="0"/>
      <w:marBottom w:val="0"/>
      <w:divBdr>
        <w:top w:val="none" w:sz="0" w:space="0" w:color="auto"/>
        <w:left w:val="none" w:sz="0" w:space="0" w:color="auto"/>
        <w:bottom w:val="none" w:sz="0" w:space="0" w:color="auto"/>
        <w:right w:val="none" w:sz="0" w:space="0" w:color="auto"/>
      </w:divBdr>
    </w:div>
    <w:div w:id="1853254960">
      <w:bodyDiv w:val="1"/>
      <w:marLeft w:val="0"/>
      <w:marRight w:val="0"/>
      <w:marTop w:val="0"/>
      <w:marBottom w:val="0"/>
      <w:divBdr>
        <w:top w:val="none" w:sz="0" w:space="0" w:color="auto"/>
        <w:left w:val="none" w:sz="0" w:space="0" w:color="auto"/>
        <w:bottom w:val="none" w:sz="0" w:space="0" w:color="auto"/>
        <w:right w:val="none" w:sz="0" w:space="0" w:color="auto"/>
      </w:divBdr>
    </w:div>
    <w:div w:id="1885215887">
      <w:bodyDiv w:val="1"/>
      <w:marLeft w:val="0"/>
      <w:marRight w:val="0"/>
      <w:marTop w:val="0"/>
      <w:marBottom w:val="0"/>
      <w:divBdr>
        <w:top w:val="none" w:sz="0" w:space="0" w:color="auto"/>
        <w:left w:val="none" w:sz="0" w:space="0" w:color="auto"/>
        <w:bottom w:val="none" w:sz="0" w:space="0" w:color="auto"/>
        <w:right w:val="none" w:sz="0" w:space="0" w:color="auto"/>
      </w:divBdr>
    </w:div>
    <w:div w:id="1895700126">
      <w:bodyDiv w:val="1"/>
      <w:marLeft w:val="0"/>
      <w:marRight w:val="0"/>
      <w:marTop w:val="0"/>
      <w:marBottom w:val="0"/>
      <w:divBdr>
        <w:top w:val="none" w:sz="0" w:space="0" w:color="auto"/>
        <w:left w:val="none" w:sz="0" w:space="0" w:color="auto"/>
        <w:bottom w:val="none" w:sz="0" w:space="0" w:color="auto"/>
        <w:right w:val="none" w:sz="0" w:space="0" w:color="auto"/>
      </w:divBdr>
    </w:div>
    <w:div w:id="2079396957">
      <w:bodyDiv w:val="1"/>
      <w:marLeft w:val="0"/>
      <w:marRight w:val="0"/>
      <w:marTop w:val="0"/>
      <w:marBottom w:val="0"/>
      <w:divBdr>
        <w:top w:val="none" w:sz="0" w:space="0" w:color="auto"/>
        <w:left w:val="none" w:sz="0" w:space="0" w:color="auto"/>
        <w:bottom w:val="none" w:sz="0" w:space="0" w:color="auto"/>
        <w:right w:val="none" w:sz="0" w:space="0" w:color="auto"/>
      </w:divBdr>
    </w:div>
    <w:div w:id="2100364004">
      <w:bodyDiv w:val="1"/>
      <w:marLeft w:val="0"/>
      <w:marRight w:val="0"/>
      <w:marTop w:val="0"/>
      <w:marBottom w:val="0"/>
      <w:divBdr>
        <w:top w:val="none" w:sz="0" w:space="0" w:color="auto"/>
        <w:left w:val="none" w:sz="0" w:space="0" w:color="auto"/>
        <w:bottom w:val="none" w:sz="0" w:space="0" w:color="auto"/>
        <w:right w:val="none" w:sz="0" w:space="0" w:color="auto"/>
      </w:divBdr>
    </w:div>
    <w:div w:id="21348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s://ec.europa.eu/digital-single-market/en/policies/big-data"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kis.gov.lv/2017/05/pilnveidos-latvijas-iedzivotajiem-izstradato-masintulku-hugo-lv/www.hugo.lv"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A216B297-68D2-4978-BCE7-8F8BEE4D244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1BA7184A-1441-49CC-8336-37D429709A4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7AC652C2-04ED-4EDF-82B8-F8A98A0B081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EBF2D203-AC77-43FF-A803-C6E7029E697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8E4F093E-B0F8-4BA2-854B-1B77172F278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7C7E00DC-5658-42EF-B745-330A7D3A297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4E9F2CBA-D33D-4B37-AFF0-33CA49F5C6E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D360EDB3-6849-47E0-B12B-53B5EE1C40C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CCC88803-8C27-4CEB-96EF-9994410DEEB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0EB94D87-CE24-4BC6-BE1E-6B13D305E02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053A7140-D21F-4692-8506-BA2F9263F24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E78AFE80-A7CE-4FDC-A859-517F2175F25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64CBD800-2172-44C7-BE32-C64DC51F6B7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A68455C0-4642-447B-A418-23B1D6FFC5C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717AA2FC-266C-41FA-B629-977DCF0D3E1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48B7A1FE-0386-4EEF-9DBF-D4E9194761E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BE653792-F7FA-4729-846C-13B3DE707B0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19820</Words>
  <Characters>11298</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2018-05-21T05:11:00Z</dcterms:created>
  <dcterms:modified xsi:type="dcterms:W3CDTF">2018-05-21T10:01:00Z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2018-03-12</vt:lpwstr>
  </property>
  <property fmtid="{D5CDD505-2E9C-101B-9397-08002B2CF9AE}" pid="3" name="DISCesvisAdditionalMakers">
    <vt:lpwstr>Nodaļas vadītāja Māra Rone </vt:lpwstr>
  </property>
  <property fmtid="{D5CDD505-2E9C-101B-9397-08002B2CF9AE}" pid="4" name="DIScgiUrl">
    <vt:lpwstr>https://lim.esvis.gov.lv/cs/idcplg</vt:lpwstr>
  </property>
  <property fmtid="{D5CDD505-2E9C-101B-9397-08002B2CF9AE}" pid="5" name="DISdDocName">
    <vt:lpwstr>L163061</vt:lpwstr>
  </property>
  <property fmtid="{D5CDD505-2E9C-101B-9397-08002B2CF9AE}" pid="6" name="DISCesvisAdditionalTutors">
    <vt:lpwstr>Nodaļas vadītāja Māra Rone , Vecākais referents Olafs Grigus</vt:lpwstr>
  </property>
  <property fmtid="{D5CDD505-2E9C-101B-9397-08002B2CF9AE}" pid="7" name="DISCesvisAdditionalMakersPhone">
    <vt:lpwstr>67013265</vt:lpwstr>
  </property>
  <property fmtid="{D5CDD505-2E9C-101B-9397-08002B2CF9AE}" pid="8" name="DISCesvisSigner">
    <vt:lpwstr>Ministrs Arvils Ašeradens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https://lim.esvis.gov.lv/cs/idcplg?ClientControlled=DocMan&amp;coreContentOnly=1&amp;WebdavRequest=1&amp;IdcService=DOC_INFO&amp;dID=205440</vt:lpwstr>
  </property>
  <property fmtid="{D5CDD505-2E9C-101B-9397-08002B2CF9AE}" pid="11" name="DISCesvisTitle">
    <vt:lpwstr>INFORMATĪVAIS ZIŅOJUMS par Eiropas Savienības Konkurētspējas ministru padomes 2018. gada 12.marta sanāksmē izskatāmajiem jautājumiem
</vt:lpwstr>
  </property>
  <property fmtid="{D5CDD505-2E9C-101B-9397-08002B2CF9AE}" pid="12" name="DISCesvisMinistryOfMinister">
    <vt:lpwstr>Ekonomikas ministra pienākumu izpildītājs - </vt:lpwstr>
  </property>
  <property fmtid="{D5CDD505-2E9C-101B-9397-08002B2CF9AE}" pid="13" name="DISCesvisAuthor">
    <vt:lpwstr>Ekonomikas ministrija</vt:lpwstr>
  </property>
  <property fmtid="{D5CDD505-2E9C-101B-9397-08002B2CF9AE}" pid="14" name="DISCesvisMainMaker">
    <vt:lpwstr>Nodaļas vadītāja Māra Rone </vt:lpwstr>
  </property>
  <property fmtid="{D5CDD505-2E9C-101B-9397-08002B2CF9AE}" pid="15" name="DISCesvisAdditionalTutorsMail">
    <vt:lpwstr>Mara.Rone@em.gov.lv, Olafs.Grigus@em.gov.lv</vt:lpwstr>
  </property>
  <property fmtid="{D5CDD505-2E9C-101B-9397-08002B2CF9AE}" pid="16" name="DISCesvisAdditionalTutorsPhone">
    <vt:lpwstr>67013265, 67013114</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DISCesvisMeetingDate,DISCesvisAdditionalMakers,DIScgiUrl,DISdDocName,DISCesvisAdditionalTutors,DISCesvisAdditionalMakersPhone,DISCesvisSigner,DISCesvisSafetyLevel,DISTaskPaneUrl,DISCesvisTitle,DISCesvisDocRegDate,DISCesvisMinistryOfMinister,DISCesvisAutho</vt:lpwstr>
  </property>
  <property fmtid="{D5CDD505-2E9C-101B-9397-08002B2CF9AE}" pid="19" name="DISCesvisAdditionalMakersMail">
    <vt:lpwstr>Mara.Rone@em.gov.lv</vt:lpwstr>
  </property>
  <property fmtid="{D5CDD505-2E9C-101B-9397-08002B2CF9AE}" pid="20" name="DISdUser">
    <vt:lpwstr>em_mrone</vt:lpwstr>
  </property>
  <property fmtid="{D5CDD505-2E9C-101B-9397-08002B2CF9AE}" pid="21" name="DISCesvisOrgApprovers">
    <vt:lpwstr>Ārlietu ministrija, Vides aizsardzības un reģionālās attīstības ministrija</vt:lpwstr>
  </property>
  <property fmtid="{D5CDD505-2E9C-101B-9397-08002B2CF9AE}" pid="22" name="DISdID">
    <vt:lpwstr>205440</vt:lpwstr>
  </property>
  <property fmtid="{D5CDD505-2E9C-101B-9397-08002B2CF9AE}" pid="23" name="DISCesvisMainMakerOrgUnitTitle">
    <vt:lpwstr>Eiropas Savienības un ārējo ekonomisko attiecību departaments</vt:lpwstr>
  </property>
  <property fmtid="{D5CDD505-2E9C-101B-9397-08002B2CF9AE}" pid="24" name="DISCesvisComments">
    <vt:lpwstr>Lūdzu sniegt saskaņojumu līdz rītdiena 22.11. pl.16:00. Īpašs lūgums papildināt informāciju par AOB jautājumiem FM (iepirkuma pakotne, tabakas izsekošanas direktīva ) un VARAM (Digitālā vienotā tirgus ieviešana).</vt:lpwstr>
  </property>
  <property fmtid="{D5CDD505-2E9C-101B-9397-08002B2CF9AE}" pid="25" name="DISCesvisDescription">
    <vt:lpwstr>
</vt:lpwstr>
  </property>
  <property fmtid="{D5CDD505-2E9C-101B-9397-08002B2CF9AE}" pid="26" name="DISCesvisForInforming">
    <vt:lpwstr>Specializētais atašejs - nozares padomnieks Rinalds Celmiņš, Departamenta direktora vietniece Lita Stauvere </vt:lpwstr>
  </property>
  <property fmtid="{D5CDD505-2E9C-101B-9397-08002B2CF9AE}" pid="27" name="DISCesvisDocRegDate">
    <vt:lpwstr>2018-03-06</vt:lpwstr>
  </property>
  <property fmtid="{D5CDD505-2E9C-101B-9397-08002B2CF9AE}" pid="28" name="DISCesvisRegDate">
    <vt:lpwstr>2018-03-06</vt:lpwstr>
  </property>
  <property fmtid="{D5CDD505-2E9C-101B-9397-08002B2CF9AE}" pid="29" name="DISCesvisDocRegNr">
    <vt:lpwstr>2.3.10-2/2018/IZ-2</vt:lpwstr>
  </property>
</Properties>
</file>